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259F2" w14:textId="373BBBF5" w:rsidR="009B0F09" w:rsidRPr="00B6473E" w:rsidRDefault="00B6473E" w:rsidP="009B0F09">
      <w:pPr>
        <w:spacing w:after="240"/>
        <w:rPr>
          <w:rFonts w:ascii="Times New Roman" w:hAnsi="Times New Roman" w:cs="Times New Roman"/>
          <w:b/>
          <w:bCs/>
          <w:sz w:val="28"/>
          <w:szCs w:val="36"/>
        </w:rPr>
      </w:pPr>
      <w:r w:rsidRPr="00B6473E">
        <w:rPr>
          <w:rFonts w:ascii="Times New Roman" w:hAnsi="Times New Roman" w:cs="Times New Roman" w:hint="eastAsia"/>
          <w:b/>
          <w:bCs/>
          <w:sz w:val="28"/>
          <w:szCs w:val="36"/>
        </w:rPr>
        <w:t>Supplementary Figure</w:t>
      </w:r>
      <w:r w:rsidR="00C64E99">
        <w:rPr>
          <w:rFonts w:ascii="Times New Roman" w:hAnsi="Times New Roman" w:cs="Times New Roman" w:hint="eastAsia"/>
          <w:b/>
          <w:bCs/>
          <w:sz w:val="28"/>
          <w:szCs w:val="36"/>
        </w:rPr>
        <w:t>s</w:t>
      </w:r>
      <w:r w:rsidR="00FA2382">
        <w:rPr>
          <w:rFonts w:ascii="Times New Roman" w:hAnsi="Times New Roman" w:cs="Times New Roman" w:hint="eastAsia"/>
          <w:b/>
          <w:bCs/>
          <w:sz w:val="28"/>
          <w:szCs w:val="36"/>
        </w:rPr>
        <w:t xml:space="preserve"> </w:t>
      </w:r>
    </w:p>
    <w:p w14:paraId="777D67AF" w14:textId="6BBF74B4" w:rsidR="00FA2382" w:rsidRPr="00FA2382" w:rsidRDefault="009B0F09" w:rsidP="00FA2382">
      <w:pPr>
        <w:spacing w:after="240"/>
        <w:rPr>
          <w:rFonts w:ascii="Times New Roman" w:hAnsi="Times New Roman" w:cs="Times New Roman"/>
          <w:sz w:val="24"/>
        </w:rPr>
      </w:pPr>
      <w:r>
        <w:rPr>
          <w:noProof/>
        </w:rPr>
        <mc:AlternateContent>
          <mc:Choice Requires="wps">
            <w:drawing>
              <wp:anchor distT="0" distB="0" distL="114300" distR="114300" simplePos="0" relativeHeight="251660288" behindDoc="0" locked="0" layoutInCell="1" allowOverlap="1" wp14:anchorId="228548C3" wp14:editId="471EB3BB">
                <wp:simplePos x="0" y="0"/>
                <wp:positionH relativeFrom="column">
                  <wp:posOffset>0</wp:posOffset>
                </wp:positionH>
                <wp:positionV relativeFrom="paragraph">
                  <wp:posOffset>3801110</wp:posOffset>
                </wp:positionV>
                <wp:extent cx="5274310" cy="635"/>
                <wp:effectExtent l="0" t="0" r="2540" b="0"/>
                <wp:wrapTopAndBottom/>
                <wp:docPr id="535740042" name="文本框 1"/>
                <wp:cNvGraphicFramePr/>
                <a:graphic xmlns:a="http://schemas.openxmlformats.org/drawingml/2006/main">
                  <a:graphicData uri="http://schemas.microsoft.com/office/word/2010/wordprocessingShape">
                    <wps:wsp>
                      <wps:cNvSpPr txBox="1"/>
                      <wps:spPr>
                        <a:xfrm>
                          <a:off x="0" y="0"/>
                          <a:ext cx="5274310" cy="635"/>
                        </a:xfrm>
                        <a:prstGeom prst="rect">
                          <a:avLst/>
                        </a:prstGeom>
                        <a:solidFill>
                          <a:prstClr val="white"/>
                        </a:solidFill>
                        <a:ln>
                          <a:noFill/>
                        </a:ln>
                      </wps:spPr>
                      <wps:txbx>
                        <w:txbxContent>
                          <w:p w14:paraId="51FFE1C6" w14:textId="16AA1F43" w:rsidR="009B0F09" w:rsidRPr="00A7464E" w:rsidRDefault="009B0F09" w:rsidP="009B0F09">
                            <w:pPr>
                              <w:pStyle w:val="a7"/>
                              <w:rPr>
                                <w:rFonts w:hint="eastAsia"/>
                                <w:noProof/>
                                <w:sz w:val="21"/>
                              </w:rPr>
                            </w:pPr>
                            <w:r w:rsidRPr="00FA2382">
                              <w:rPr>
                                <w:rFonts w:ascii="Times New Roman" w:hAnsi="Times New Roman" w:cs="Times New Roman" w:hint="eastAsia"/>
                                <w:sz w:val="24"/>
                              </w:rPr>
                              <w:t>Supplementary Fig.1</w:t>
                            </w:r>
                            <w:r>
                              <w:rPr>
                                <w:rFonts w:ascii="Times New Roman" w:hAnsi="Times New Roman" w:cs="Times New Roman" w:hint="eastAsia"/>
                                <w:sz w:val="24"/>
                              </w:rPr>
                              <w:t xml:space="preserve"> </w:t>
                            </w:r>
                            <w:r w:rsidRPr="00FA2382">
                              <w:rPr>
                                <w:rFonts w:ascii="Times New Roman" w:hAnsi="Times New Roman" w:cs="Times New Roman" w:hint="eastAsia"/>
                                <w:sz w:val="24"/>
                              </w:rPr>
                              <w:t>Overview of the individual studies included in the meta-analysis, stratified by gender. The plot summarizes key characteristics of each study. The x-axis represents the mean age of participants. The y-axis lists the specific cardiovascular outcomes assessed. The size of each bubble corresponds to the sample size of that individual study.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28548C3" id="_x0000_t202" coordsize="21600,21600" o:spt="202" path="m,l,21600r21600,l21600,xe">
                <v:stroke joinstyle="miter"/>
                <v:path gradientshapeok="t" o:connecttype="rect"/>
              </v:shapetype>
              <v:shape id="文本框 1" o:spid="_x0000_s1026" type="#_x0000_t202" style="position:absolute;left:0;text-align:left;margin-left:0;margin-top:299.3pt;width:415.3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" stroked="f">
                <v:textbox style="mso-fit-shape-to-text:t" inset="0,0,0,0">
                  <w:txbxContent>
                    <w:p w14:paraId="51FFE1C6" w14:textId="16AA1F43" w:rsidR="009B0F09" w:rsidRPr="00A7464E" w:rsidRDefault="009B0F09" w:rsidP="009B0F09">
                      <w:pPr>
                        <w:pStyle w:val="a7"/>
                        <w:rPr>
                          <w:rFonts w:hint="eastAsia"/>
                          <w:noProof/>
                          <w:sz w:val="21"/>
                        </w:rPr>
                      </w:pPr>
                      <w:r w:rsidRPr="00FA2382">
                        <w:rPr>
                          <w:rFonts w:ascii="Times New Roman" w:hAnsi="Times New Roman" w:cs="Times New Roman" w:hint="eastAsia"/>
                          <w:sz w:val="24"/>
                        </w:rPr>
                        <w:t>Supplementary Fig.1</w:t>
                      </w:r>
                      <w:r>
                        <w:rPr>
                          <w:rFonts w:ascii="Times New Roman" w:hAnsi="Times New Roman" w:cs="Times New Roman" w:hint="eastAsia"/>
                          <w:sz w:val="24"/>
                        </w:rPr>
                        <w:t xml:space="preserve"> </w:t>
                      </w:r>
                      <w:r w:rsidRPr="00FA2382">
                        <w:rPr>
                          <w:rFonts w:ascii="Times New Roman" w:hAnsi="Times New Roman" w:cs="Times New Roman" w:hint="eastAsia"/>
                          <w:sz w:val="24"/>
                        </w:rPr>
                        <w:t>Overview of the individual studies included in the meta-analysis, stratified by gender. The plot summarizes key characteristics of each study. The x-axis represents the mean age of participants. The y-axis lists the specific cardiovascular outcomes assessed. The size of each bubble corresponds to the sample size of that individual study.</w:t>
                      </w:r>
                    </w:p>
                  </w:txbxContent>
                </v:textbox>
                <w10:wrap type="topAndBottom"/>
              </v:shape>
            </w:pict>
          </mc:Fallback>
        </mc:AlternateContent>
      </w:r>
      <w:r>
        <w:rPr>
          <w:noProof/>
        </w:rPr>
        <w:drawing>
          <wp:anchor distT="0" distB="0" distL="114300" distR="114300" simplePos="0" relativeHeight="251658240" behindDoc="0" locked="0" layoutInCell="1" allowOverlap="1" wp14:anchorId="11162DAB" wp14:editId="7FD75D32">
            <wp:simplePos x="0" y="0"/>
            <wp:positionH relativeFrom="margin">
              <wp:align>center</wp:align>
            </wp:positionH>
            <wp:positionV relativeFrom="paragraph">
              <wp:posOffset>3810</wp:posOffset>
            </wp:positionV>
            <wp:extent cx="5274310" cy="3743325"/>
            <wp:effectExtent l="0" t="0" r="2540" b="9525"/>
            <wp:wrapTopAndBottom/>
            <wp:docPr id="18720438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4310" cy="3743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59A9D8" w14:textId="515B6A33" w:rsidR="00FA2382" w:rsidRPr="00E92628" w:rsidRDefault="00C64E99" w:rsidP="00FA2382">
      <w:pPr>
        <w:spacing w:after="240"/>
        <w:rPr>
          <w:rFonts w:ascii="Times New Roman" w:hAnsi="Times New Roman" w:cs="Times New Roman"/>
          <w:sz w:val="24"/>
        </w:rPr>
      </w:pPr>
      <w:r>
        <w:rPr>
          <w:noProof/>
        </w:rPr>
        <w:lastRenderedPageBreak/>
        <w:drawing>
          <wp:anchor distT="0" distB="0" distL="114300" distR="114300" simplePos="0" relativeHeight="251682816" behindDoc="0" locked="0" layoutInCell="1" allowOverlap="1" wp14:anchorId="70ABDB16" wp14:editId="0F079E38">
            <wp:simplePos x="0" y="0"/>
            <wp:positionH relativeFrom="margin">
              <wp:align>center</wp:align>
            </wp:positionH>
            <wp:positionV relativeFrom="paragraph">
              <wp:posOffset>0</wp:posOffset>
            </wp:positionV>
            <wp:extent cx="3622675" cy="8256905"/>
            <wp:effectExtent l="0" t="0" r="0" b="0"/>
            <wp:wrapTopAndBottom/>
            <wp:docPr id="2737214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22675" cy="8256905"/>
                    </a:xfrm>
                    <a:prstGeom prst="rect">
                      <a:avLst/>
                    </a:prstGeom>
                    <a:noFill/>
                    <a:ln>
                      <a:noFill/>
                    </a:ln>
                  </pic:spPr>
                </pic:pic>
              </a:graphicData>
            </a:graphic>
            <wp14:sizeRelH relativeFrom="page">
              <wp14:pctWidth>0</wp14:pctWidth>
            </wp14:sizeRelH>
            <wp14:sizeRelV relativeFrom="page">
              <wp14:pctHeight>0</wp14:pctHeight>
            </wp14:sizeRelV>
          </wp:anchor>
        </w:drawing>
      </w:r>
      <w:r w:rsidR="00517850" w:rsidRPr="00E92628">
        <w:rPr>
          <w:rFonts w:ascii="Times New Roman" w:hAnsi="Times New Roman" w:cs="Times New Roman"/>
          <w:sz w:val="24"/>
        </w:rPr>
        <w:t>Supplementary Fig</w:t>
      </w:r>
      <w:r w:rsidR="002F02B1" w:rsidRPr="00E92628">
        <w:rPr>
          <w:rFonts w:ascii="Times New Roman" w:hAnsi="Times New Roman" w:cs="Times New Roman"/>
          <w:sz w:val="24"/>
        </w:rPr>
        <w:t>.</w:t>
      </w:r>
      <w:r w:rsidR="00FA2382" w:rsidRPr="00E92628">
        <w:rPr>
          <w:rFonts w:ascii="Times New Roman" w:hAnsi="Times New Roman" w:cs="Times New Roman"/>
          <w:sz w:val="24"/>
        </w:rPr>
        <w:t>2</w:t>
      </w:r>
      <w:r w:rsidR="00517850" w:rsidRPr="00E92628">
        <w:rPr>
          <w:rFonts w:ascii="Times New Roman" w:hAnsi="Times New Roman" w:cs="Times New Roman"/>
          <w:sz w:val="24"/>
        </w:rPr>
        <w:t xml:space="preserve"> </w:t>
      </w:r>
      <w:r w:rsidR="00E92628" w:rsidRPr="00E92628">
        <w:rPr>
          <w:rFonts w:ascii="Times New Roman" w:hAnsi="Times New Roman" w:cs="Times New Roman"/>
          <w:sz w:val="24"/>
        </w:rPr>
        <w:t xml:space="preserve">Age-stratified associations between sex hormones and CVD in male. Forest plots showing the associations between circulating sex hormones and risk of cardiovascular outcomes, stratified by study mean age (≥60 vs &lt;60 years). (A) sex </w:t>
      </w:r>
      <w:r w:rsidR="00E92628" w:rsidRPr="00E92628">
        <w:rPr>
          <w:rFonts w:ascii="Times New Roman" w:hAnsi="Times New Roman" w:cs="Times New Roman"/>
          <w:sz w:val="24"/>
        </w:rPr>
        <w:lastRenderedPageBreak/>
        <w:t>hormone–binding globulin (SHBG), (B) total testosterone (TT), (C) calculated free testosterone (</w:t>
      </w:r>
      <w:proofErr w:type="spellStart"/>
      <w:r w:rsidR="00E92628" w:rsidRPr="00E92628">
        <w:rPr>
          <w:rFonts w:ascii="Times New Roman" w:hAnsi="Times New Roman" w:cs="Times New Roman"/>
          <w:sz w:val="24"/>
        </w:rPr>
        <w:t>cFT</w:t>
      </w:r>
      <w:proofErr w:type="spellEnd"/>
      <w:r w:rsidR="00E92628" w:rsidRPr="00E92628">
        <w:rPr>
          <w:rFonts w:ascii="Times New Roman" w:hAnsi="Times New Roman" w:cs="Times New Roman"/>
          <w:sz w:val="24"/>
        </w:rPr>
        <w:t>), (D) dihydrotestosterone (DHT), and (E) estradiol (E2).</w:t>
      </w:r>
      <w:r w:rsidR="00E92628">
        <w:rPr>
          <w:rFonts w:ascii="Times New Roman" w:hAnsi="Times New Roman" w:cs="Times New Roman" w:hint="eastAsia"/>
          <w:sz w:val="24"/>
        </w:rPr>
        <w:t xml:space="preserve"> </w:t>
      </w:r>
      <w:r w:rsidR="00E92628" w:rsidRPr="00FA2382">
        <w:rPr>
          <w:rFonts w:ascii="Times New Roman" w:hAnsi="Times New Roman" w:cs="Times New Roman"/>
          <w:sz w:val="24"/>
        </w:rPr>
        <w:t xml:space="preserve">Squares represent hazard ratios (HRs) with 95% confidence intervals (CIs) for individual studies. The size of each square corresponds to the study's weight in the meta-analysis. Diamonds indicate the pooled estimates for each age subgroup (&lt;60 years and ≥60 </w:t>
      </w:r>
      <w:r>
        <w:rPr>
          <w:noProof/>
        </w:rPr>
        <w:drawing>
          <wp:anchor distT="0" distB="0" distL="114300" distR="114300" simplePos="0" relativeHeight="251683840" behindDoc="0" locked="0" layoutInCell="1" allowOverlap="1" wp14:anchorId="0A3FB515" wp14:editId="002E65E4">
            <wp:simplePos x="0" y="0"/>
            <wp:positionH relativeFrom="margin">
              <wp:align>center</wp:align>
            </wp:positionH>
            <wp:positionV relativeFrom="paragraph">
              <wp:posOffset>1423670</wp:posOffset>
            </wp:positionV>
            <wp:extent cx="4739640" cy="6430645"/>
            <wp:effectExtent l="0" t="0" r="3810" b="8255"/>
            <wp:wrapTopAndBottom/>
            <wp:docPr id="7857326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39640" cy="6430645"/>
                    </a:xfrm>
                    <a:prstGeom prst="rect">
                      <a:avLst/>
                    </a:prstGeom>
                    <a:noFill/>
                    <a:ln>
                      <a:noFill/>
                    </a:ln>
                  </pic:spPr>
                </pic:pic>
              </a:graphicData>
            </a:graphic>
            <wp14:sizeRelH relativeFrom="page">
              <wp14:pctWidth>0</wp14:pctWidth>
            </wp14:sizeRelH>
            <wp14:sizeRelV relativeFrom="page">
              <wp14:pctHeight>0</wp14:pctHeight>
            </wp14:sizeRelV>
          </wp:anchor>
        </w:drawing>
      </w:r>
      <w:r w:rsidR="00E92628" w:rsidRPr="00FA2382">
        <w:rPr>
          <w:rFonts w:ascii="Times New Roman" w:hAnsi="Times New Roman" w:cs="Times New Roman"/>
          <w:sz w:val="24"/>
        </w:rPr>
        <w:t>years).</w:t>
      </w:r>
    </w:p>
    <w:p w14:paraId="6AEAE03A" w14:textId="33E36AA4" w:rsidR="00702DCE" w:rsidRDefault="00E92628" w:rsidP="00702DCE">
      <w:pPr>
        <w:spacing w:after="240"/>
        <w:rPr>
          <w:rFonts w:ascii="Times New Roman" w:hAnsi="Times New Roman" w:cs="Times New Roman"/>
          <w:sz w:val="24"/>
        </w:rPr>
      </w:pPr>
      <w:r w:rsidRPr="00E92628">
        <w:rPr>
          <w:rFonts w:ascii="Times New Roman" w:hAnsi="Times New Roman" w:cs="Times New Roman"/>
          <w:sz w:val="24"/>
        </w:rPr>
        <w:t>Supplementary Fig.</w:t>
      </w:r>
      <w:r>
        <w:rPr>
          <w:rFonts w:ascii="Times New Roman" w:hAnsi="Times New Roman" w:cs="Times New Roman" w:hint="eastAsia"/>
          <w:sz w:val="24"/>
        </w:rPr>
        <w:t>3</w:t>
      </w:r>
      <w:r w:rsidRPr="00E92628">
        <w:rPr>
          <w:rFonts w:ascii="Times New Roman" w:hAnsi="Times New Roman" w:cs="Times New Roman"/>
          <w:sz w:val="24"/>
        </w:rPr>
        <w:t xml:space="preserve"> </w:t>
      </w:r>
      <w:r w:rsidR="00702DCE" w:rsidRPr="00703F51">
        <w:rPr>
          <w:rFonts w:ascii="Times New Roman" w:hAnsi="Times New Roman" w:cs="Times New Roman"/>
          <w:sz w:val="24"/>
        </w:rPr>
        <w:t>Forest plots showing the association between circulating sex hormones and the risk of CVD in men, stratified by assay technologies.</w:t>
      </w:r>
      <w:r w:rsidR="00702DCE">
        <w:rPr>
          <w:rFonts w:ascii="Times New Roman" w:hAnsi="Times New Roman" w:cs="Times New Roman" w:hint="eastAsia"/>
          <w:sz w:val="24"/>
        </w:rPr>
        <w:t xml:space="preserve"> </w:t>
      </w:r>
      <w:r w:rsidR="00702DCE" w:rsidRPr="00703F51">
        <w:rPr>
          <w:rFonts w:ascii="Times New Roman" w:hAnsi="Times New Roman" w:cs="Times New Roman"/>
          <w:sz w:val="24"/>
        </w:rPr>
        <w:t>(A) Sex hormone-binding globulin (SHBG), (B) Total testosterone (TT), and (C) calculated free testosterone (</w:t>
      </w:r>
      <w:proofErr w:type="spellStart"/>
      <w:r w:rsidR="00702DCE" w:rsidRPr="00703F51">
        <w:rPr>
          <w:rFonts w:ascii="Times New Roman" w:hAnsi="Times New Roman" w:cs="Times New Roman"/>
          <w:sz w:val="24"/>
        </w:rPr>
        <w:t>cFT</w:t>
      </w:r>
      <w:proofErr w:type="spellEnd"/>
      <w:r w:rsidR="00702DCE" w:rsidRPr="00703F51">
        <w:rPr>
          <w:rFonts w:ascii="Times New Roman" w:hAnsi="Times New Roman" w:cs="Times New Roman"/>
          <w:sz w:val="24"/>
        </w:rPr>
        <w:t xml:space="preserve">). Squares represent hazard ratios (HRs) with 95% confidence intervals (CIs) for individual studies, with the size of each square proportional to the </w:t>
      </w:r>
      <w:r w:rsidR="00702DCE" w:rsidRPr="00703F51">
        <w:rPr>
          <w:rFonts w:ascii="Times New Roman" w:hAnsi="Times New Roman" w:cs="Times New Roman"/>
          <w:sz w:val="24"/>
        </w:rPr>
        <w:lastRenderedPageBreak/>
        <w:t xml:space="preserve">study’s weight in the meta-analysis. Diamonds indicate the pooled effect estimates for </w:t>
      </w:r>
      <w:r w:rsidR="00C64E99">
        <w:rPr>
          <w:noProof/>
        </w:rPr>
        <w:drawing>
          <wp:anchor distT="0" distB="0" distL="114300" distR="114300" simplePos="0" relativeHeight="251684864" behindDoc="0" locked="0" layoutInCell="1" allowOverlap="1" wp14:anchorId="0B703EF7" wp14:editId="08034302">
            <wp:simplePos x="0" y="0"/>
            <wp:positionH relativeFrom="margin">
              <wp:posOffset>551180</wp:posOffset>
            </wp:positionH>
            <wp:positionV relativeFrom="paragraph">
              <wp:posOffset>468429</wp:posOffset>
            </wp:positionV>
            <wp:extent cx="4172585" cy="7431405"/>
            <wp:effectExtent l="0" t="0" r="0" b="0"/>
            <wp:wrapTopAndBottom/>
            <wp:docPr id="6053686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72585" cy="7431405"/>
                    </a:xfrm>
                    <a:prstGeom prst="rect">
                      <a:avLst/>
                    </a:prstGeom>
                    <a:noFill/>
                    <a:ln>
                      <a:noFill/>
                    </a:ln>
                  </pic:spPr>
                </pic:pic>
              </a:graphicData>
            </a:graphic>
            <wp14:sizeRelH relativeFrom="page">
              <wp14:pctWidth>0</wp14:pctWidth>
            </wp14:sizeRelH>
            <wp14:sizeRelV relativeFrom="page">
              <wp14:pctHeight>0</wp14:pctHeight>
            </wp14:sizeRelV>
          </wp:anchor>
        </w:drawing>
      </w:r>
      <w:r w:rsidR="00702DCE" w:rsidRPr="00703F51">
        <w:rPr>
          <w:rFonts w:ascii="Times New Roman" w:hAnsi="Times New Roman" w:cs="Times New Roman"/>
          <w:sz w:val="24"/>
        </w:rPr>
        <w:t>each assay subgroup (ELISA, RIA, CLIA, and LC–MS/MS).</w:t>
      </w:r>
    </w:p>
    <w:p w14:paraId="45453717" w14:textId="6A2BF859" w:rsidR="00702DCE" w:rsidRDefault="00702DCE" w:rsidP="009B0F09">
      <w:pPr>
        <w:spacing w:after="240"/>
        <w:rPr>
          <w:rFonts w:ascii="Times New Roman" w:hAnsi="Times New Roman" w:cs="Times New Roman"/>
          <w:sz w:val="24"/>
        </w:rPr>
      </w:pPr>
      <w:r w:rsidRPr="00FA2382">
        <w:rPr>
          <w:rFonts w:ascii="Times New Roman" w:hAnsi="Times New Roman" w:cs="Times New Roman"/>
          <w:sz w:val="24"/>
        </w:rPr>
        <w:t>Supplementary Fig.</w:t>
      </w:r>
      <w:r>
        <w:rPr>
          <w:rFonts w:ascii="Times New Roman" w:hAnsi="Times New Roman" w:cs="Times New Roman" w:hint="eastAsia"/>
          <w:sz w:val="24"/>
        </w:rPr>
        <w:t xml:space="preserve">4 </w:t>
      </w:r>
      <w:r w:rsidR="00E92628" w:rsidRPr="00E92628">
        <w:rPr>
          <w:rFonts w:ascii="Times New Roman" w:hAnsi="Times New Roman" w:cs="Times New Roman"/>
          <w:sz w:val="24"/>
        </w:rPr>
        <w:t xml:space="preserve">Age-stratified associations between sex hormones and CVD in female. Forest plots showing the associations between circulating sex hormones and risk of cardiovascular outcomes, stratified by study mean age (≥60 vs &lt;60 years). (A) sex hormone–binding globulin (SHBG), (B) total testosterone (TT), (C) calculated free </w:t>
      </w:r>
      <w:r w:rsidR="00E92628" w:rsidRPr="00E92628">
        <w:rPr>
          <w:rFonts w:ascii="Times New Roman" w:hAnsi="Times New Roman" w:cs="Times New Roman"/>
          <w:sz w:val="24"/>
        </w:rPr>
        <w:lastRenderedPageBreak/>
        <w:t>testosterone (</w:t>
      </w:r>
      <w:proofErr w:type="spellStart"/>
      <w:r w:rsidR="00E92628" w:rsidRPr="00E92628">
        <w:rPr>
          <w:rFonts w:ascii="Times New Roman" w:hAnsi="Times New Roman" w:cs="Times New Roman"/>
          <w:sz w:val="24"/>
        </w:rPr>
        <w:t>cFT</w:t>
      </w:r>
      <w:proofErr w:type="spellEnd"/>
      <w:r w:rsidR="00E92628" w:rsidRPr="00E92628">
        <w:rPr>
          <w:rFonts w:ascii="Times New Roman" w:hAnsi="Times New Roman" w:cs="Times New Roman"/>
          <w:sz w:val="24"/>
        </w:rPr>
        <w:t>), (D) estradiol (E2).</w:t>
      </w:r>
      <w:r w:rsidR="00E92628">
        <w:rPr>
          <w:rFonts w:ascii="Times New Roman" w:hAnsi="Times New Roman" w:cs="Times New Roman" w:hint="eastAsia"/>
          <w:sz w:val="24"/>
        </w:rPr>
        <w:t xml:space="preserve"> </w:t>
      </w:r>
      <w:r w:rsidR="00E92628" w:rsidRPr="00FA2382">
        <w:rPr>
          <w:rFonts w:ascii="Times New Roman" w:hAnsi="Times New Roman" w:cs="Times New Roman"/>
          <w:sz w:val="24"/>
        </w:rPr>
        <w:t>Squares represent hazard ratios (HRs) with 95% confidence intervals (CIs) for individual studies. The size of each square corresponds to the study's weight in the meta-analysis. Diamonds indicate the pooled estimates for each age subgroup (&lt;60 years and ≥60 years).</w:t>
      </w:r>
    </w:p>
    <w:p w14:paraId="3AFBB3D8" w14:textId="652F3E55" w:rsidR="00C64E99" w:rsidRPr="00C64E99" w:rsidRDefault="00C64E99" w:rsidP="00C64E99">
      <w:pPr>
        <w:rPr>
          <w:rFonts w:ascii="Times New Roman" w:hAnsi="Times New Roman" w:cs="Times New Roman" w:hint="eastAsia"/>
          <w:sz w:val="24"/>
        </w:rPr>
      </w:pPr>
      <w:r>
        <w:rPr>
          <w:noProof/>
        </w:rPr>
        <w:drawing>
          <wp:anchor distT="0" distB="0" distL="114300" distR="114300" simplePos="0" relativeHeight="251685888" behindDoc="0" locked="0" layoutInCell="1" allowOverlap="1" wp14:anchorId="7B69F753" wp14:editId="717DF3EA">
            <wp:simplePos x="0" y="0"/>
            <wp:positionH relativeFrom="margin">
              <wp:align>center</wp:align>
            </wp:positionH>
            <wp:positionV relativeFrom="paragraph">
              <wp:posOffset>44755</wp:posOffset>
            </wp:positionV>
            <wp:extent cx="5274310" cy="6640195"/>
            <wp:effectExtent l="0" t="0" r="2540" b="8255"/>
            <wp:wrapTopAndBottom/>
            <wp:docPr id="2553472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6640195"/>
                    </a:xfrm>
                    <a:prstGeom prst="rect">
                      <a:avLst/>
                    </a:prstGeom>
                    <a:noFill/>
                    <a:ln>
                      <a:noFill/>
                    </a:ln>
                  </pic:spPr>
                </pic:pic>
              </a:graphicData>
            </a:graphic>
            <wp14:sizeRelH relativeFrom="page">
              <wp14:pctWidth>0</wp14:pctWidth>
            </wp14:sizeRelH>
            <wp14:sizeRelV relativeFrom="page">
              <wp14:pctHeight>0</wp14:pctHeight>
            </wp14:sizeRelV>
          </wp:anchor>
        </w:drawing>
      </w:r>
      <w:r w:rsidR="00702DCE" w:rsidRPr="00FA2382">
        <w:rPr>
          <w:rFonts w:ascii="Times New Roman" w:hAnsi="Times New Roman" w:cs="Times New Roman"/>
          <w:sz w:val="24"/>
        </w:rPr>
        <w:t>Supplementary Fig.</w:t>
      </w:r>
      <w:r w:rsidR="00702DCE">
        <w:rPr>
          <w:rFonts w:ascii="Times New Roman" w:hAnsi="Times New Roman" w:cs="Times New Roman" w:hint="eastAsia"/>
          <w:sz w:val="24"/>
        </w:rPr>
        <w:t xml:space="preserve">5 </w:t>
      </w:r>
      <w:r w:rsidR="00702DCE" w:rsidRPr="00703F51">
        <w:rPr>
          <w:rFonts w:ascii="Times New Roman" w:hAnsi="Times New Roman" w:cs="Times New Roman"/>
          <w:sz w:val="24"/>
        </w:rPr>
        <w:t>Forest plots showing the association between circulating sex hormones and the risk of CVD in women, stratified by assay technologies.</w:t>
      </w:r>
      <w:r w:rsidR="00702DCE">
        <w:rPr>
          <w:rFonts w:ascii="Times New Roman" w:hAnsi="Times New Roman" w:cs="Times New Roman" w:hint="eastAsia"/>
          <w:sz w:val="24"/>
        </w:rPr>
        <w:t xml:space="preserve"> </w:t>
      </w:r>
      <w:r w:rsidR="00702DCE" w:rsidRPr="00703F51">
        <w:rPr>
          <w:rFonts w:ascii="Times New Roman" w:hAnsi="Times New Roman" w:cs="Times New Roman"/>
          <w:sz w:val="24"/>
        </w:rPr>
        <w:t>(A) Sex hormone-binding globulin (SHBG) and (B) Total testosterone (TT). Squares represent hazard ratios (HRs) with 95% confidence intervals (CIs) for individual studies, with square sizes proportional to the study’s weight in the meta-analysis. Diamonds indicate the pooled estimates for each assay subgroup (ELISA, RIA, CLIA, and LC–MS/MS).</w:t>
      </w:r>
    </w:p>
    <w:p w14:paraId="3B4D0676" w14:textId="5F64D993" w:rsidR="00702DCE" w:rsidRPr="00702DCE" w:rsidRDefault="00C64E99" w:rsidP="00702DCE">
      <w:pPr>
        <w:spacing w:after="240"/>
        <w:rPr>
          <w:rFonts w:ascii="Times New Roman" w:hAnsi="Times New Roman" w:cs="Times New Roman"/>
          <w:sz w:val="24"/>
        </w:rPr>
      </w:pPr>
      <w:r>
        <w:rPr>
          <w:noProof/>
        </w:rPr>
        <w:lastRenderedPageBreak/>
        <w:drawing>
          <wp:inline distT="0" distB="0" distL="0" distR="0" wp14:anchorId="35DB58BD" wp14:editId="5ED376B5">
            <wp:extent cx="5040630" cy="5550061"/>
            <wp:effectExtent l="0" t="0" r="7620" b="0"/>
            <wp:docPr id="5903156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3911"/>
                    <a:stretch>
                      <a:fillRect/>
                    </a:stretch>
                  </pic:blipFill>
                  <pic:spPr bwMode="auto">
                    <a:xfrm>
                      <a:off x="0" y="0"/>
                      <a:ext cx="5040630" cy="5550061"/>
                    </a:xfrm>
                    <a:prstGeom prst="rect">
                      <a:avLst/>
                    </a:prstGeom>
                    <a:noFill/>
                    <a:ln>
                      <a:noFill/>
                    </a:ln>
                    <a:extLst>
                      <a:ext uri="{53640926-AAD7-44D8-BBD7-CCE9431645EC}">
                        <a14:shadowObscured xmlns:a14="http://schemas.microsoft.com/office/drawing/2010/main"/>
                      </a:ext>
                    </a:extLst>
                  </pic:spPr>
                </pic:pic>
              </a:graphicData>
            </a:graphic>
          </wp:inline>
        </w:drawing>
      </w:r>
      <w:r w:rsidR="00702DCE" w:rsidRPr="00FA2382">
        <w:rPr>
          <w:rFonts w:ascii="Times New Roman" w:hAnsi="Times New Roman" w:cs="Times New Roman" w:hint="eastAsia"/>
          <w:sz w:val="24"/>
        </w:rPr>
        <w:t>Supplementary Fig.</w:t>
      </w:r>
      <w:r w:rsidR="00702DCE">
        <w:rPr>
          <w:rFonts w:ascii="Times New Roman" w:hAnsi="Times New Roman" w:cs="Times New Roman" w:hint="eastAsia"/>
          <w:sz w:val="24"/>
        </w:rPr>
        <w:t>6</w:t>
      </w:r>
      <w:r w:rsidR="00702DCE" w:rsidRPr="00FA2382">
        <w:rPr>
          <w:rFonts w:ascii="Times New Roman" w:hAnsi="Times New Roman" w:cs="Times New Roman" w:hint="eastAsia"/>
          <w:sz w:val="24"/>
        </w:rPr>
        <w:t xml:space="preserve"> Forest plots showing the association between sex hormones and the risk of heart failure, stratified by gender. (A) Sex hormone-binding globulin (SHBG), (B) Total testosterone</w:t>
      </w:r>
      <w:r w:rsidR="00702DCE">
        <w:rPr>
          <w:rFonts w:ascii="Times New Roman" w:hAnsi="Times New Roman" w:cs="Times New Roman" w:hint="eastAsia"/>
          <w:sz w:val="24"/>
        </w:rPr>
        <w:t xml:space="preserve"> (TT)</w:t>
      </w:r>
      <w:r w:rsidR="00702DCE" w:rsidRPr="00FA2382">
        <w:rPr>
          <w:rFonts w:ascii="Times New Roman" w:hAnsi="Times New Roman" w:cs="Times New Roman" w:hint="eastAsia"/>
          <w:sz w:val="24"/>
        </w:rPr>
        <w:t>, and (C) Dehydroepiandrosterone (DHEA). Squares represent hazard ratios (HRs) with 95% confidence intervals (CIs) for individual studies. The size of each square corresponds to the study's weight in the meta-analysis. Diamonds indicate the pooled estimates for each gender subgroup (Male and Female).</w:t>
      </w:r>
    </w:p>
    <w:p w14:paraId="4F243639" w14:textId="7419DB5B" w:rsidR="00EE65E2" w:rsidRDefault="00C64E99" w:rsidP="00FA2382">
      <w:pPr>
        <w:spacing w:after="240"/>
        <w:rPr>
          <w:rFonts w:ascii="Times New Roman" w:hAnsi="Times New Roman" w:cs="Times New Roman"/>
          <w:sz w:val="24"/>
        </w:rPr>
      </w:pPr>
      <w:r>
        <w:rPr>
          <w:noProof/>
        </w:rPr>
        <w:lastRenderedPageBreak/>
        <w:drawing>
          <wp:anchor distT="0" distB="0" distL="114300" distR="114300" simplePos="0" relativeHeight="251686912" behindDoc="0" locked="0" layoutInCell="1" allowOverlap="1" wp14:anchorId="26182F82" wp14:editId="6D3D2C25">
            <wp:simplePos x="0" y="0"/>
            <wp:positionH relativeFrom="margin">
              <wp:align>center</wp:align>
            </wp:positionH>
            <wp:positionV relativeFrom="paragraph">
              <wp:posOffset>63661</wp:posOffset>
            </wp:positionV>
            <wp:extent cx="4890135" cy="4027805"/>
            <wp:effectExtent l="0" t="0" r="5715" b="0"/>
            <wp:wrapTopAndBottom/>
            <wp:docPr id="7591410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90135" cy="4027805"/>
                    </a:xfrm>
                    <a:prstGeom prst="rect">
                      <a:avLst/>
                    </a:prstGeom>
                    <a:noFill/>
                    <a:ln>
                      <a:noFill/>
                    </a:ln>
                  </pic:spPr>
                </pic:pic>
              </a:graphicData>
            </a:graphic>
            <wp14:sizeRelH relativeFrom="page">
              <wp14:pctWidth>0</wp14:pctWidth>
            </wp14:sizeRelH>
            <wp14:sizeRelV relativeFrom="page">
              <wp14:pctHeight>0</wp14:pctHeight>
            </wp14:sizeRelV>
          </wp:anchor>
        </w:drawing>
      </w:r>
      <w:r w:rsidR="00702DCE" w:rsidRPr="00FA2382">
        <w:rPr>
          <w:rFonts w:ascii="Times New Roman" w:hAnsi="Times New Roman" w:cs="Times New Roman" w:hint="eastAsia"/>
          <w:sz w:val="24"/>
        </w:rPr>
        <w:t>Supplementary Fig.</w:t>
      </w:r>
      <w:r w:rsidR="00702DCE">
        <w:rPr>
          <w:rFonts w:ascii="Times New Roman" w:hAnsi="Times New Roman" w:cs="Times New Roman" w:hint="eastAsia"/>
          <w:sz w:val="24"/>
        </w:rPr>
        <w:t xml:space="preserve">7. </w:t>
      </w:r>
      <w:r w:rsidR="00EE65E2" w:rsidRPr="00FA2382">
        <w:rPr>
          <w:rFonts w:ascii="Times New Roman" w:hAnsi="Times New Roman" w:cs="Times New Roman"/>
          <w:sz w:val="24"/>
        </w:rPr>
        <w:t>Forest plots showing the association between sex hormones and the risk of heart failure, stratified by age. (A) Sex hormone-binding globulin (SHBG), (B) Total testosterone</w:t>
      </w:r>
      <w:r w:rsidR="00EE65E2">
        <w:rPr>
          <w:rFonts w:ascii="Times New Roman" w:hAnsi="Times New Roman" w:cs="Times New Roman" w:hint="eastAsia"/>
          <w:sz w:val="24"/>
        </w:rPr>
        <w:t xml:space="preserve"> (TT)</w:t>
      </w:r>
      <w:r w:rsidR="00EE65E2" w:rsidRPr="00FA2382">
        <w:rPr>
          <w:rFonts w:ascii="Times New Roman" w:hAnsi="Times New Roman" w:cs="Times New Roman"/>
          <w:sz w:val="24"/>
        </w:rPr>
        <w:t>. Squares represent hazard ratios (HRs) with 95% confidence intervals (CIs) for individual studies. The size of each square corresponds to the study's weight in the meta-analysis. Diamonds indicate the pooled estimates for each age subgroup (&lt;60 years and ≥60 years).</w:t>
      </w:r>
    </w:p>
    <w:p w14:paraId="17180926" w14:textId="6339776D" w:rsidR="00702DCE" w:rsidRPr="00702DCE" w:rsidRDefault="00C64E99" w:rsidP="009B0F09">
      <w:pPr>
        <w:spacing w:after="240"/>
        <w:rPr>
          <w:rFonts w:ascii="Times New Roman" w:hAnsi="Times New Roman" w:cs="Times New Roman"/>
          <w:sz w:val="24"/>
          <w:szCs w:val="32"/>
        </w:rPr>
      </w:pPr>
      <w:r>
        <w:rPr>
          <w:noProof/>
        </w:rPr>
        <w:lastRenderedPageBreak/>
        <w:drawing>
          <wp:anchor distT="0" distB="0" distL="114300" distR="114300" simplePos="0" relativeHeight="251669504" behindDoc="0" locked="0" layoutInCell="1" allowOverlap="1" wp14:anchorId="72158A42" wp14:editId="4190DB63">
            <wp:simplePos x="0" y="0"/>
            <wp:positionH relativeFrom="margin">
              <wp:posOffset>495236</wp:posOffset>
            </wp:positionH>
            <wp:positionV relativeFrom="paragraph">
              <wp:posOffset>-458</wp:posOffset>
            </wp:positionV>
            <wp:extent cx="3865880" cy="5033645"/>
            <wp:effectExtent l="0" t="0" r="1270" b="0"/>
            <wp:wrapTopAndBottom/>
            <wp:docPr id="106948129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65880" cy="50336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0" locked="0" layoutInCell="1" allowOverlap="1" wp14:anchorId="2C4C4BA0" wp14:editId="56C7944B">
            <wp:simplePos x="0" y="0"/>
            <wp:positionH relativeFrom="margin">
              <wp:align>center</wp:align>
            </wp:positionH>
            <wp:positionV relativeFrom="paragraph">
              <wp:posOffset>-5334040</wp:posOffset>
            </wp:positionV>
            <wp:extent cx="4872990" cy="6539865"/>
            <wp:effectExtent l="0" t="0" r="3810" b="0"/>
            <wp:wrapTopAndBottom/>
            <wp:docPr id="12308476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72990" cy="6539865"/>
                    </a:xfrm>
                    <a:prstGeom prst="rect">
                      <a:avLst/>
                    </a:prstGeom>
                    <a:noFill/>
                    <a:ln>
                      <a:noFill/>
                    </a:ln>
                  </pic:spPr>
                </pic:pic>
              </a:graphicData>
            </a:graphic>
            <wp14:sizeRelH relativeFrom="page">
              <wp14:pctWidth>0</wp14:pctWidth>
            </wp14:sizeRelH>
            <wp14:sizeRelV relativeFrom="page">
              <wp14:pctHeight>0</wp14:pctHeight>
            </wp14:sizeRelV>
          </wp:anchor>
        </w:drawing>
      </w:r>
      <w:r w:rsidR="00702DCE" w:rsidRPr="00FA2382">
        <w:rPr>
          <w:rFonts w:ascii="Times New Roman" w:hAnsi="Times New Roman" w:cs="Times New Roman" w:hint="eastAsia"/>
          <w:sz w:val="24"/>
          <w:szCs w:val="32"/>
        </w:rPr>
        <w:t>Supplementary Fig.</w:t>
      </w:r>
      <w:r w:rsidR="00702DCE">
        <w:rPr>
          <w:rFonts w:ascii="Times New Roman" w:hAnsi="Times New Roman" w:cs="Times New Roman" w:hint="eastAsia"/>
          <w:sz w:val="24"/>
          <w:szCs w:val="32"/>
        </w:rPr>
        <w:t>8</w:t>
      </w:r>
      <w:r w:rsidR="00702DCE" w:rsidRPr="00FA2382">
        <w:rPr>
          <w:rFonts w:ascii="Times New Roman" w:hAnsi="Times New Roman" w:cs="Times New Roman" w:hint="eastAsia"/>
          <w:sz w:val="24"/>
          <w:szCs w:val="32"/>
        </w:rPr>
        <w:t xml:space="preserve"> Forest plots showing the association between sex hormones and the risk of major adverse cardiovascular events (MACE), stratified by gender. (A) Sex hormone-binding globulin (SHBG), (B) Total testosterone</w:t>
      </w:r>
      <w:r w:rsidR="00702DCE">
        <w:rPr>
          <w:rFonts w:ascii="Times New Roman" w:hAnsi="Times New Roman" w:cs="Times New Roman" w:hint="eastAsia"/>
          <w:sz w:val="24"/>
          <w:szCs w:val="32"/>
        </w:rPr>
        <w:t xml:space="preserve"> (TT)</w:t>
      </w:r>
      <w:r w:rsidR="00702DCE" w:rsidRPr="00FA2382">
        <w:rPr>
          <w:rFonts w:ascii="Times New Roman" w:hAnsi="Times New Roman" w:cs="Times New Roman" w:hint="eastAsia"/>
          <w:sz w:val="24"/>
          <w:szCs w:val="32"/>
        </w:rPr>
        <w:t xml:space="preserve">, and (C) </w:t>
      </w:r>
      <w:r w:rsidR="00702DCE" w:rsidRPr="00E92628">
        <w:rPr>
          <w:rFonts w:ascii="Times New Roman" w:hAnsi="Times New Roman" w:cs="Times New Roman"/>
          <w:sz w:val="24"/>
        </w:rPr>
        <w:t>estradiol (E2)</w:t>
      </w:r>
      <w:r w:rsidR="00702DCE" w:rsidRPr="00FA2382">
        <w:rPr>
          <w:rFonts w:ascii="Times New Roman" w:hAnsi="Times New Roman" w:cs="Times New Roman" w:hint="eastAsia"/>
          <w:sz w:val="24"/>
          <w:szCs w:val="32"/>
        </w:rPr>
        <w:t>. Squares represent hazard ratios (HRs) with 95% confidence intervals (CIs) for individual studies. The size of each square corresponds to the study's weight in the meta-analysis. Diamonds indicate the pooled estimates for each age subgroup (Male and Female).</w:t>
      </w:r>
    </w:p>
    <w:p w14:paraId="7546C348" w14:textId="756C6562" w:rsidR="009B0F09" w:rsidRDefault="009B0F09">
      <w:pPr>
        <w:widowControl/>
        <w:jc w:val="left"/>
        <w:rPr>
          <w:rFonts w:ascii="Times New Roman" w:hAnsi="Times New Roman" w:cs="Times New Roman"/>
          <w:sz w:val="24"/>
        </w:rPr>
      </w:pPr>
      <w:r>
        <w:rPr>
          <w:rFonts w:ascii="Times New Roman" w:hAnsi="Times New Roman" w:cs="Times New Roman"/>
          <w:sz w:val="24"/>
        </w:rPr>
        <w:br w:type="page"/>
      </w:r>
    </w:p>
    <w:p w14:paraId="5A0F384E" w14:textId="5F8877BB" w:rsidR="009B0F09" w:rsidRDefault="00C64E99" w:rsidP="00FA2382">
      <w:pPr>
        <w:spacing w:after="240"/>
        <w:rPr>
          <w:rFonts w:ascii="Times New Roman" w:hAnsi="Times New Roman" w:cs="Times New Roman"/>
          <w:sz w:val="24"/>
        </w:rPr>
      </w:pPr>
      <w:r>
        <w:rPr>
          <w:noProof/>
        </w:rPr>
        <w:lastRenderedPageBreak/>
        <w:drawing>
          <wp:anchor distT="0" distB="0" distL="114300" distR="114300" simplePos="0" relativeHeight="251688960" behindDoc="0" locked="0" layoutInCell="1" allowOverlap="1" wp14:anchorId="09768FCF" wp14:editId="5E21EE80">
            <wp:simplePos x="0" y="0"/>
            <wp:positionH relativeFrom="margin">
              <wp:align>center</wp:align>
            </wp:positionH>
            <wp:positionV relativeFrom="paragraph">
              <wp:posOffset>11575</wp:posOffset>
            </wp:positionV>
            <wp:extent cx="4687570" cy="6105525"/>
            <wp:effectExtent l="0" t="0" r="0" b="9525"/>
            <wp:wrapTopAndBottom/>
            <wp:docPr id="18146433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87570" cy="6105525"/>
                    </a:xfrm>
                    <a:prstGeom prst="rect">
                      <a:avLst/>
                    </a:prstGeom>
                    <a:noFill/>
                    <a:ln>
                      <a:noFill/>
                    </a:ln>
                  </pic:spPr>
                </pic:pic>
              </a:graphicData>
            </a:graphic>
            <wp14:sizeRelH relativeFrom="page">
              <wp14:pctWidth>0</wp14:pctWidth>
            </wp14:sizeRelH>
            <wp14:sizeRelV relativeFrom="page">
              <wp14:pctHeight>0</wp14:pctHeight>
            </wp14:sizeRelV>
          </wp:anchor>
        </w:drawing>
      </w:r>
      <w:r w:rsidR="00517850" w:rsidRPr="00FA2382">
        <w:rPr>
          <w:rFonts w:ascii="Times New Roman" w:hAnsi="Times New Roman" w:cs="Times New Roman"/>
          <w:sz w:val="24"/>
        </w:rPr>
        <w:t>Supplementary Fig</w:t>
      </w:r>
      <w:r w:rsidR="002F02B1" w:rsidRPr="00FA2382">
        <w:rPr>
          <w:rFonts w:ascii="Times New Roman" w:hAnsi="Times New Roman" w:cs="Times New Roman"/>
          <w:sz w:val="24"/>
        </w:rPr>
        <w:t>.</w:t>
      </w:r>
      <w:r w:rsidR="00702DCE">
        <w:rPr>
          <w:rFonts w:ascii="Times New Roman" w:hAnsi="Times New Roman" w:cs="Times New Roman" w:hint="eastAsia"/>
          <w:sz w:val="24"/>
        </w:rPr>
        <w:t>9</w:t>
      </w:r>
      <w:r w:rsidR="00517850" w:rsidRPr="00FA2382">
        <w:rPr>
          <w:rFonts w:ascii="Times New Roman" w:hAnsi="Times New Roman" w:cs="Times New Roman"/>
          <w:sz w:val="24"/>
        </w:rPr>
        <w:t xml:space="preserve"> Forest plots showing the association between sex hormones and the risk of major adverse cardiovascular events (MACE), stratified by age. (A) Sex hormone-binding globulin (SHBG), (B) Total testosterone</w:t>
      </w:r>
      <w:r w:rsidR="00EE65E2">
        <w:rPr>
          <w:rFonts w:ascii="Times New Roman" w:hAnsi="Times New Roman" w:cs="Times New Roman" w:hint="eastAsia"/>
          <w:sz w:val="24"/>
        </w:rPr>
        <w:t xml:space="preserve"> (TT)</w:t>
      </w:r>
      <w:r w:rsidR="00517850" w:rsidRPr="00FA2382">
        <w:rPr>
          <w:rFonts w:ascii="Times New Roman" w:hAnsi="Times New Roman" w:cs="Times New Roman"/>
          <w:sz w:val="24"/>
        </w:rPr>
        <w:t xml:space="preserve">, and (C) </w:t>
      </w:r>
      <w:r w:rsidR="00E92628" w:rsidRPr="00E92628">
        <w:rPr>
          <w:rFonts w:ascii="Times New Roman" w:hAnsi="Times New Roman" w:cs="Times New Roman"/>
          <w:sz w:val="24"/>
        </w:rPr>
        <w:t>estradiol (E2</w:t>
      </w:r>
      <w:proofErr w:type="gramStart"/>
      <w:r w:rsidR="00E92628" w:rsidRPr="00E92628">
        <w:rPr>
          <w:rFonts w:ascii="Times New Roman" w:hAnsi="Times New Roman" w:cs="Times New Roman"/>
          <w:sz w:val="24"/>
        </w:rPr>
        <w:t>).</w:t>
      </w:r>
      <w:r w:rsidR="00517850" w:rsidRPr="00FA2382">
        <w:rPr>
          <w:rFonts w:ascii="Times New Roman" w:hAnsi="Times New Roman" w:cs="Times New Roman"/>
          <w:sz w:val="24"/>
        </w:rPr>
        <w:t>.</w:t>
      </w:r>
      <w:proofErr w:type="gramEnd"/>
      <w:r w:rsidR="00517850" w:rsidRPr="00FA2382">
        <w:rPr>
          <w:rFonts w:ascii="Times New Roman" w:hAnsi="Times New Roman" w:cs="Times New Roman"/>
          <w:sz w:val="24"/>
        </w:rPr>
        <w:t xml:space="preserve"> Squares represent hazard ratios (HRs) with 95% confidence intervals (CIs) for individual studies. The size of each square corresponds to the study's weight in the meta-analysis. Diamonds indicate the pooled estimates for each age subgroup (&lt;60 years and ≥60 years).</w:t>
      </w:r>
    </w:p>
    <w:p w14:paraId="042C3159" w14:textId="77777777" w:rsidR="009B0F09" w:rsidRDefault="009B0F09">
      <w:pPr>
        <w:widowControl/>
        <w:jc w:val="left"/>
        <w:rPr>
          <w:rFonts w:ascii="Times New Roman" w:hAnsi="Times New Roman" w:cs="Times New Roman"/>
          <w:sz w:val="24"/>
        </w:rPr>
      </w:pPr>
      <w:r>
        <w:rPr>
          <w:rFonts w:ascii="Times New Roman" w:hAnsi="Times New Roman" w:cs="Times New Roman"/>
          <w:sz w:val="24"/>
        </w:rPr>
        <w:br w:type="page"/>
      </w:r>
    </w:p>
    <w:p w14:paraId="561BDBA1" w14:textId="1549C494" w:rsidR="00EE65E2" w:rsidRDefault="00C64E99" w:rsidP="006043A9">
      <w:pPr>
        <w:spacing w:after="240"/>
        <w:rPr>
          <w:rFonts w:ascii="Times New Roman" w:hAnsi="Times New Roman" w:cs="Times New Roman"/>
          <w:sz w:val="24"/>
        </w:rPr>
      </w:pPr>
      <w:r>
        <w:rPr>
          <w:noProof/>
        </w:rPr>
        <w:lastRenderedPageBreak/>
        <w:drawing>
          <wp:anchor distT="0" distB="0" distL="114300" distR="114300" simplePos="0" relativeHeight="251689984" behindDoc="0" locked="0" layoutInCell="1" allowOverlap="1" wp14:anchorId="406B8E65" wp14:editId="11680203">
            <wp:simplePos x="0" y="0"/>
            <wp:positionH relativeFrom="margin">
              <wp:posOffset>488950</wp:posOffset>
            </wp:positionH>
            <wp:positionV relativeFrom="paragraph">
              <wp:posOffset>5715</wp:posOffset>
            </wp:positionV>
            <wp:extent cx="3819525" cy="7183120"/>
            <wp:effectExtent l="0" t="0" r="9525" b="0"/>
            <wp:wrapTopAndBottom/>
            <wp:docPr id="17103477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9525" cy="7183120"/>
                    </a:xfrm>
                    <a:prstGeom prst="rect">
                      <a:avLst/>
                    </a:prstGeom>
                    <a:noFill/>
                    <a:ln>
                      <a:noFill/>
                    </a:ln>
                  </pic:spPr>
                </pic:pic>
              </a:graphicData>
            </a:graphic>
            <wp14:sizeRelH relativeFrom="page">
              <wp14:pctWidth>0</wp14:pctWidth>
            </wp14:sizeRelH>
            <wp14:sizeRelV relativeFrom="page">
              <wp14:pctHeight>0</wp14:pctHeight>
            </wp14:sizeRelV>
          </wp:anchor>
        </w:drawing>
      </w:r>
      <w:r w:rsidR="00EE65E2" w:rsidRPr="00FA2382">
        <w:rPr>
          <w:rFonts w:ascii="Times New Roman" w:hAnsi="Times New Roman" w:cs="Times New Roman"/>
          <w:sz w:val="24"/>
        </w:rPr>
        <w:t>Supplementary Fig.</w:t>
      </w:r>
      <w:r w:rsidR="00702DCE">
        <w:rPr>
          <w:rFonts w:ascii="Times New Roman" w:hAnsi="Times New Roman" w:cs="Times New Roman" w:hint="eastAsia"/>
          <w:sz w:val="24"/>
        </w:rPr>
        <w:t>10</w:t>
      </w:r>
      <w:r w:rsidR="00EE65E2" w:rsidRPr="00FA2382">
        <w:rPr>
          <w:rFonts w:ascii="Times New Roman" w:hAnsi="Times New Roman" w:cs="Times New Roman"/>
          <w:sz w:val="24"/>
        </w:rPr>
        <w:t xml:space="preserve"> Forest plots showing the association between sex hormones and the risk of cardiovascular mortality, </w:t>
      </w:r>
      <w:r w:rsidR="00EE65E2" w:rsidRPr="00FA2382">
        <w:rPr>
          <w:rFonts w:ascii="Times New Roman" w:hAnsi="Times New Roman" w:cs="Times New Roman" w:hint="eastAsia"/>
          <w:sz w:val="24"/>
          <w:szCs w:val="32"/>
        </w:rPr>
        <w:t>stratified by gender</w:t>
      </w:r>
      <w:r w:rsidR="00EE65E2" w:rsidRPr="00FA2382">
        <w:rPr>
          <w:rFonts w:ascii="Times New Roman" w:hAnsi="Times New Roman" w:cs="Times New Roman"/>
          <w:sz w:val="24"/>
        </w:rPr>
        <w:t>. (A)</w:t>
      </w:r>
      <w:r w:rsidR="00EE65E2" w:rsidRPr="00EE65E2">
        <w:rPr>
          <w:rFonts w:ascii="Times New Roman" w:hAnsi="Times New Roman" w:cs="Times New Roman" w:hint="eastAsia"/>
          <w:sz w:val="24"/>
          <w:szCs w:val="32"/>
        </w:rPr>
        <w:t xml:space="preserve"> </w:t>
      </w:r>
      <w:r w:rsidR="00EE65E2" w:rsidRPr="00FA2382">
        <w:rPr>
          <w:rFonts w:ascii="Times New Roman" w:hAnsi="Times New Roman" w:cs="Times New Roman" w:hint="eastAsia"/>
          <w:sz w:val="24"/>
          <w:szCs w:val="32"/>
        </w:rPr>
        <w:t>Total testosterone</w:t>
      </w:r>
      <w:r w:rsidR="00EE65E2">
        <w:rPr>
          <w:rFonts w:ascii="Times New Roman" w:hAnsi="Times New Roman" w:cs="Times New Roman" w:hint="eastAsia"/>
          <w:sz w:val="24"/>
          <w:szCs w:val="32"/>
        </w:rPr>
        <w:t xml:space="preserve"> (TT), (B)</w:t>
      </w:r>
      <w:r w:rsidR="00EE65E2" w:rsidRPr="00FA2382">
        <w:rPr>
          <w:rFonts w:ascii="Times New Roman" w:hAnsi="Times New Roman" w:cs="Times New Roman"/>
          <w:sz w:val="24"/>
        </w:rPr>
        <w:t xml:space="preserve"> Sex hormone-binding globulin (SHBG), (</w:t>
      </w:r>
      <w:r w:rsidR="00EE65E2">
        <w:rPr>
          <w:rFonts w:ascii="Times New Roman" w:hAnsi="Times New Roman" w:cs="Times New Roman" w:hint="eastAsia"/>
          <w:sz w:val="24"/>
        </w:rPr>
        <w:t>C</w:t>
      </w:r>
      <w:r w:rsidR="00EE65E2" w:rsidRPr="00FA2382">
        <w:rPr>
          <w:rFonts w:ascii="Times New Roman" w:hAnsi="Times New Roman" w:cs="Times New Roman"/>
          <w:sz w:val="24"/>
        </w:rPr>
        <w:t>) Calculated free testosterone (</w:t>
      </w:r>
      <w:proofErr w:type="spellStart"/>
      <w:r w:rsidR="00EE65E2" w:rsidRPr="00FA2382">
        <w:rPr>
          <w:rFonts w:ascii="Times New Roman" w:hAnsi="Times New Roman" w:cs="Times New Roman"/>
          <w:sz w:val="24"/>
        </w:rPr>
        <w:t>cFT</w:t>
      </w:r>
      <w:proofErr w:type="spellEnd"/>
      <w:r w:rsidR="00EE65E2" w:rsidRPr="00FA2382">
        <w:rPr>
          <w:rFonts w:ascii="Times New Roman" w:hAnsi="Times New Roman" w:cs="Times New Roman"/>
          <w:sz w:val="24"/>
        </w:rPr>
        <w:t>), and (</w:t>
      </w:r>
      <w:r w:rsidR="00EE65E2">
        <w:rPr>
          <w:rFonts w:ascii="Times New Roman" w:hAnsi="Times New Roman" w:cs="Times New Roman" w:hint="eastAsia"/>
          <w:sz w:val="24"/>
        </w:rPr>
        <w:t>D</w:t>
      </w:r>
      <w:r w:rsidR="00EE65E2" w:rsidRPr="00FA2382">
        <w:rPr>
          <w:rFonts w:ascii="Times New Roman" w:hAnsi="Times New Roman" w:cs="Times New Roman"/>
          <w:sz w:val="24"/>
        </w:rPr>
        <w:t>) Dihydrotestosterone (DHT)</w:t>
      </w:r>
      <w:r w:rsidR="00EE65E2">
        <w:rPr>
          <w:rFonts w:ascii="Times New Roman" w:hAnsi="Times New Roman" w:cs="Times New Roman" w:hint="eastAsia"/>
          <w:sz w:val="24"/>
        </w:rPr>
        <w:t>, (E)</w:t>
      </w:r>
      <w:r w:rsidR="00E92628" w:rsidRPr="00E92628">
        <w:rPr>
          <w:rFonts w:ascii="Times New Roman" w:hAnsi="Times New Roman" w:cs="Times New Roman"/>
          <w:sz w:val="24"/>
        </w:rPr>
        <w:t xml:space="preserve"> estradiol (E2)</w:t>
      </w:r>
      <w:r w:rsidR="00EE65E2" w:rsidRPr="00FA2382">
        <w:rPr>
          <w:rFonts w:ascii="Times New Roman" w:hAnsi="Times New Roman" w:cs="Times New Roman"/>
          <w:sz w:val="24"/>
        </w:rPr>
        <w:t>. Squares represent hazard ratios (HRs) with 95% confidence intervals (CIs) for individual studies. The size of each square corresponds to the study's weight in the meta-analysis. Diamonds indicate the pooled estimates for each age subgroup (</w:t>
      </w:r>
      <w:r w:rsidR="00EE65E2" w:rsidRPr="00FA2382">
        <w:rPr>
          <w:rFonts w:ascii="Times New Roman" w:hAnsi="Times New Roman" w:cs="Times New Roman" w:hint="eastAsia"/>
          <w:sz w:val="24"/>
          <w:szCs w:val="32"/>
        </w:rPr>
        <w:t>Male and Female</w:t>
      </w:r>
      <w:r w:rsidR="00EE65E2" w:rsidRPr="00FA2382">
        <w:rPr>
          <w:rFonts w:ascii="Times New Roman" w:hAnsi="Times New Roman" w:cs="Times New Roman"/>
          <w:sz w:val="24"/>
        </w:rPr>
        <w:t>).</w:t>
      </w:r>
    </w:p>
    <w:p w14:paraId="5C828B44" w14:textId="547D0503" w:rsidR="00702DCE" w:rsidRDefault="00C64E99" w:rsidP="00EE65E2">
      <w:pPr>
        <w:widowControl/>
        <w:spacing w:after="240"/>
        <w:rPr>
          <w:rFonts w:ascii="Times New Roman" w:hAnsi="Times New Roman" w:cs="Times New Roman"/>
          <w:sz w:val="24"/>
        </w:rPr>
      </w:pPr>
      <w:r>
        <w:rPr>
          <w:noProof/>
        </w:rPr>
        <w:lastRenderedPageBreak/>
        <w:drawing>
          <wp:anchor distT="0" distB="0" distL="114300" distR="114300" simplePos="0" relativeHeight="251691008" behindDoc="0" locked="0" layoutInCell="1" allowOverlap="1" wp14:anchorId="1D90BA34" wp14:editId="3B0A338A">
            <wp:simplePos x="0" y="0"/>
            <wp:positionH relativeFrom="margin">
              <wp:align>center</wp:align>
            </wp:positionH>
            <wp:positionV relativeFrom="paragraph">
              <wp:posOffset>0</wp:posOffset>
            </wp:positionV>
            <wp:extent cx="4450080" cy="7853045"/>
            <wp:effectExtent l="0" t="0" r="7620" b="0"/>
            <wp:wrapTopAndBottom/>
            <wp:docPr id="17421815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50080" cy="7853045"/>
                    </a:xfrm>
                    <a:prstGeom prst="rect">
                      <a:avLst/>
                    </a:prstGeom>
                    <a:noFill/>
                    <a:ln>
                      <a:noFill/>
                    </a:ln>
                  </pic:spPr>
                </pic:pic>
              </a:graphicData>
            </a:graphic>
            <wp14:sizeRelH relativeFrom="page">
              <wp14:pctWidth>0</wp14:pctWidth>
            </wp14:sizeRelH>
            <wp14:sizeRelV relativeFrom="page">
              <wp14:pctHeight>0</wp14:pctHeight>
            </wp14:sizeRelV>
          </wp:anchor>
        </w:drawing>
      </w:r>
      <w:r w:rsidR="00702DCE" w:rsidRPr="00FA2382">
        <w:rPr>
          <w:rFonts w:ascii="Times New Roman" w:hAnsi="Times New Roman" w:cs="Times New Roman"/>
          <w:sz w:val="24"/>
        </w:rPr>
        <w:t>Supplementary Fig.</w:t>
      </w:r>
      <w:r w:rsidR="00702DCE">
        <w:rPr>
          <w:rFonts w:ascii="Times New Roman" w:hAnsi="Times New Roman" w:cs="Times New Roman" w:hint="eastAsia"/>
          <w:sz w:val="24"/>
        </w:rPr>
        <w:t>11</w:t>
      </w:r>
      <w:r w:rsidR="00702DCE" w:rsidRPr="00FA2382">
        <w:rPr>
          <w:rFonts w:ascii="Times New Roman" w:hAnsi="Times New Roman" w:cs="Times New Roman"/>
          <w:sz w:val="24"/>
        </w:rPr>
        <w:t xml:space="preserve"> Forest plots showing the association between sex hormones and the risk of cardiovascular mortality, stratified by age. (A)</w:t>
      </w:r>
      <w:r w:rsidR="00702DCE" w:rsidRPr="00EE65E2">
        <w:rPr>
          <w:rFonts w:ascii="Times New Roman" w:hAnsi="Times New Roman" w:cs="Times New Roman" w:hint="eastAsia"/>
          <w:sz w:val="24"/>
          <w:szCs w:val="32"/>
        </w:rPr>
        <w:t xml:space="preserve"> </w:t>
      </w:r>
      <w:r w:rsidR="00702DCE" w:rsidRPr="00FA2382">
        <w:rPr>
          <w:rFonts w:ascii="Times New Roman" w:hAnsi="Times New Roman" w:cs="Times New Roman" w:hint="eastAsia"/>
          <w:sz w:val="24"/>
          <w:szCs w:val="32"/>
        </w:rPr>
        <w:t>Total testosterone</w:t>
      </w:r>
      <w:r w:rsidR="00702DCE">
        <w:rPr>
          <w:rFonts w:ascii="Times New Roman" w:hAnsi="Times New Roman" w:cs="Times New Roman" w:hint="eastAsia"/>
          <w:sz w:val="24"/>
          <w:szCs w:val="32"/>
        </w:rPr>
        <w:t xml:space="preserve"> (TT), (B)</w:t>
      </w:r>
      <w:r w:rsidR="00702DCE" w:rsidRPr="00FA2382">
        <w:rPr>
          <w:rFonts w:ascii="Times New Roman" w:hAnsi="Times New Roman" w:cs="Times New Roman"/>
          <w:sz w:val="24"/>
        </w:rPr>
        <w:t xml:space="preserve"> Sex hormone-binding globulin (SHBG), (</w:t>
      </w:r>
      <w:r w:rsidR="00702DCE">
        <w:rPr>
          <w:rFonts w:ascii="Times New Roman" w:hAnsi="Times New Roman" w:cs="Times New Roman" w:hint="eastAsia"/>
          <w:sz w:val="24"/>
        </w:rPr>
        <w:t>C</w:t>
      </w:r>
      <w:r w:rsidR="00702DCE" w:rsidRPr="00FA2382">
        <w:rPr>
          <w:rFonts w:ascii="Times New Roman" w:hAnsi="Times New Roman" w:cs="Times New Roman"/>
          <w:sz w:val="24"/>
        </w:rPr>
        <w:t>) Calculated free testosterone (</w:t>
      </w:r>
      <w:proofErr w:type="spellStart"/>
      <w:r w:rsidR="00702DCE" w:rsidRPr="00FA2382">
        <w:rPr>
          <w:rFonts w:ascii="Times New Roman" w:hAnsi="Times New Roman" w:cs="Times New Roman"/>
          <w:sz w:val="24"/>
        </w:rPr>
        <w:t>cFT</w:t>
      </w:r>
      <w:proofErr w:type="spellEnd"/>
      <w:r w:rsidR="00702DCE" w:rsidRPr="00FA2382">
        <w:rPr>
          <w:rFonts w:ascii="Times New Roman" w:hAnsi="Times New Roman" w:cs="Times New Roman"/>
          <w:sz w:val="24"/>
        </w:rPr>
        <w:t>), and (</w:t>
      </w:r>
      <w:r w:rsidR="00702DCE">
        <w:rPr>
          <w:rFonts w:ascii="Times New Roman" w:hAnsi="Times New Roman" w:cs="Times New Roman" w:hint="eastAsia"/>
          <w:sz w:val="24"/>
        </w:rPr>
        <w:t>D</w:t>
      </w:r>
      <w:r w:rsidR="00702DCE" w:rsidRPr="00FA2382">
        <w:rPr>
          <w:rFonts w:ascii="Times New Roman" w:hAnsi="Times New Roman" w:cs="Times New Roman"/>
          <w:sz w:val="24"/>
        </w:rPr>
        <w:t>) Dihydrotestosterone (DHT)</w:t>
      </w:r>
      <w:r w:rsidR="00702DCE">
        <w:rPr>
          <w:rFonts w:ascii="Times New Roman" w:hAnsi="Times New Roman" w:cs="Times New Roman" w:hint="eastAsia"/>
          <w:sz w:val="24"/>
        </w:rPr>
        <w:t xml:space="preserve">, (E) </w:t>
      </w:r>
      <w:r w:rsidR="00702DCE" w:rsidRPr="00E92628">
        <w:rPr>
          <w:rFonts w:ascii="Times New Roman" w:hAnsi="Times New Roman" w:cs="Times New Roman"/>
          <w:sz w:val="24"/>
        </w:rPr>
        <w:t>estradiol (E2)</w:t>
      </w:r>
      <w:r w:rsidR="00702DCE" w:rsidRPr="00FA2382">
        <w:rPr>
          <w:rFonts w:ascii="Times New Roman" w:hAnsi="Times New Roman" w:cs="Times New Roman"/>
          <w:sz w:val="24"/>
        </w:rPr>
        <w:t xml:space="preserve">. Squares represent hazard ratios (HRs) with 95% confidence intervals (CIs) for individual studies. The size of each square </w:t>
      </w:r>
      <w:r w:rsidR="00702DCE" w:rsidRPr="00FA2382">
        <w:rPr>
          <w:rFonts w:ascii="Times New Roman" w:hAnsi="Times New Roman" w:cs="Times New Roman"/>
          <w:sz w:val="24"/>
        </w:rPr>
        <w:lastRenderedPageBreak/>
        <w:t>corresponds to the study's weight in the meta-analysis. Diamonds indicate the pooled estimates for each age subgroup (&lt;60 years and ≥60 years).</w:t>
      </w:r>
    </w:p>
    <w:p w14:paraId="139FE893" w14:textId="3B4B17E5" w:rsidR="006043A9" w:rsidRDefault="00C64E99" w:rsidP="00C64E99">
      <w:pPr>
        <w:widowControl/>
        <w:spacing w:after="240"/>
        <w:rPr>
          <w:rFonts w:ascii="Times New Roman" w:hAnsi="Times New Roman" w:cs="Times New Roman" w:hint="eastAsia"/>
          <w:sz w:val="24"/>
        </w:rPr>
      </w:pPr>
      <w:r>
        <w:rPr>
          <w:noProof/>
        </w:rPr>
        <w:drawing>
          <wp:anchor distT="0" distB="0" distL="114300" distR="114300" simplePos="0" relativeHeight="251692032" behindDoc="0" locked="0" layoutInCell="1" allowOverlap="1" wp14:anchorId="01F6DD9F" wp14:editId="68BD2390">
            <wp:simplePos x="0" y="0"/>
            <wp:positionH relativeFrom="margin">
              <wp:align>center</wp:align>
            </wp:positionH>
            <wp:positionV relativeFrom="paragraph">
              <wp:posOffset>99542</wp:posOffset>
            </wp:positionV>
            <wp:extent cx="5040630" cy="5353050"/>
            <wp:effectExtent l="0" t="0" r="7620" b="0"/>
            <wp:wrapTopAndBottom/>
            <wp:docPr id="12611663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40630" cy="53530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2DCE" w:rsidRPr="00FA2382">
        <w:rPr>
          <w:rFonts w:ascii="Times New Roman" w:hAnsi="Times New Roman" w:cs="Times New Roman"/>
          <w:sz w:val="24"/>
        </w:rPr>
        <w:t>Supplementary Fig.</w:t>
      </w:r>
      <w:r w:rsidR="00702DCE">
        <w:rPr>
          <w:rFonts w:ascii="Times New Roman" w:hAnsi="Times New Roman" w:cs="Times New Roman" w:hint="eastAsia"/>
          <w:sz w:val="24"/>
        </w:rPr>
        <w:t>12</w:t>
      </w:r>
      <w:r w:rsidR="00702DCE" w:rsidRPr="00FA2382">
        <w:rPr>
          <w:rFonts w:ascii="Times New Roman" w:hAnsi="Times New Roman" w:cs="Times New Roman"/>
          <w:sz w:val="24"/>
        </w:rPr>
        <w:t xml:space="preserve"> Forest plots showing the association between sex hormones and the risk of </w:t>
      </w:r>
      <w:r w:rsidR="00702DCE">
        <w:rPr>
          <w:rFonts w:ascii="Times New Roman" w:hAnsi="Times New Roman" w:cs="Times New Roman" w:hint="eastAsia"/>
          <w:sz w:val="24"/>
        </w:rPr>
        <w:t>all-cause</w:t>
      </w:r>
      <w:r w:rsidR="00702DCE" w:rsidRPr="00FA2382">
        <w:rPr>
          <w:rFonts w:ascii="Times New Roman" w:hAnsi="Times New Roman" w:cs="Times New Roman"/>
          <w:sz w:val="24"/>
        </w:rPr>
        <w:t xml:space="preserve"> mortality, </w:t>
      </w:r>
      <w:r w:rsidR="00702DCE" w:rsidRPr="00FA2382">
        <w:rPr>
          <w:rFonts w:ascii="Times New Roman" w:hAnsi="Times New Roman" w:cs="Times New Roman" w:hint="eastAsia"/>
          <w:sz w:val="24"/>
          <w:szCs w:val="32"/>
        </w:rPr>
        <w:t>stratified by gender</w:t>
      </w:r>
      <w:r w:rsidR="00702DCE" w:rsidRPr="00FA2382">
        <w:rPr>
          <w:rFonts w:ascii="Times New Roman" w:hAnsi="Times New Roman" w:cs="Times New Roman"/>
          <w:sz w:val="24"/>
        </w:rPr>
        <w:t>. (A)</w:t>
      </w:r>
      <w:r w:rsidR="00702DCE" w:rsidRPr="00EE65E2">
        <w:rPr>
          <w:rFonts w:ascii="Times New Roman" w:hAnsi="Times New Roman" w:cs="Times New Roman" w:hint="eastAsia"/>
          <w:sz w:val="24"/>
          <w:szCs w:val="32"/>
        </w:rPr>
        <w:t xml:space="preserve"> </w:t>
      </w:r>
      <w:r w:rsidR="00702DCE" w:rsidRPr="00FA2382">
        <w:rPr>
          <w:rFonts w:ascii="Times New Roman" w:hAnsi="Times New Roman" w:cs="Times New Roman"/>
          <w:sz w:val="24"/>
        </w:rPr>
        <w:t>Sex hormone-binding globulin (SHBG)</w:t>
      </w:r>
      <w:r w:rsidR="00702DCE">
        <w:rPr>
          <w:rFonts w:ascii="Times New Roman" w:hAnsi="Times New Roman" w:cs="Times New Roman" w:hint="eastAsia"/>
          <w:sz w:val="24"/>
          <w:szCs w:val="32"/>
        </w:rPr>
        <w:t>, (B)</w:t>
      </w:r>
      <w:r w:rsidR="00702DCE" w:rsidRPr="00EE65E2">
        <w:rPr>
          <w:rFonts w:ascii="Times New Roman" w:hAnsi="Times New Roman" w:cs="Times New Roman" w:hint="eastAsia"/>
          <w:sz w:val="24"/>
          <w:szCs w:val="32"/>
        </w:rPr>
        <w:t xml:space="preserve"> </w:t>
      </w:r>
      <w:r w:rsidR="00702DCE" w:rsidRPr="00FA2382">
        <w:rPr>
          <w:rFonts w:ascii="Times New Roman" w:hAnsi="Times New Roman" w:cs="Times New Roman" w:hint="eastAsia"/>
          <w:sz w:val="24"/>
          <w:szCs w:val="32"/>
        </w:rPr>
        <w:t>Total testosterone</w:t>
      </w:r>
      <w:r w:rsidR="00702DCE">
        <w:rPr>
          <w:rFonts w:ascii="Times New Roman" w:hAnsi="Times New Roman" w:cs="Times New Roman" w:hint="eastAsia"/>
          <w:sz w:val="24"/>
          <w:szCs w:val="32"/>
        </w:rPr>
        <w:t xml:space="preserve"> (TT)</w:t>
      </w:r>
      <w:r w:rsidR="00702DCE" w:rsidRPr="00FA2382">
        <w:rPr>
          <w:rFonts w:ascii="Times New Roman" w:hAnsi="Times New Roman" w:cs="Times New Roman"/>
          <w:sz w:val="24"/>
        </w:rPr>
        <w:t>, (</w:t>
      </w:r>
      <w:r w:rsidR="00702DCE">
        <w:rPr>
          <w:rFonts w:ascii="Times New Roman" w:hAnsi="Times New Roman" w:cs="Times New Roman" w:hint="eastAsia"/>
          <w:sz w:val="24"/>
        </w:rPr>
        <w:t>C</w:t>
      </w:r>
      <w:r w:rsidR="00702DCE" w:rsidRPr="00FA2382">
        <w:rPr>
          <w:rFonts w:ascii="Times New Roman" w:hAnsi="Times New Roman" w:cs="Times New Roman"/>
          <w:sz w:val="24"/>
        </w:rPr>
        <w:t xml:space="preserve">) </w:t>
      </w:r>
      <w:r w:rsidR="00702DCE">
        <w:rPr>
          <w:rFonts w:ascii="Times New Roman" w:hAnsi="Times New Roman" w:cs="Times New Roman" w:hint="eastAsia"/>
          <w:sz w:val="24"/>
        </w:rPr>
        <w:t>c</w:t>
      </w:r>
      <w:r w:rsidR="00702DCE" w:rsidRPr="00FA2382">
        <w:rPr>
          <w:rFonts w:ascii="Times New Roman" w:hAnsi="Times New Roman" w:cs="Times New Roman"/>
          <w:sz w:val="24"/>
        </w:rPr>
        <w:t>alculated free testosterone (</w:t>
      </w:r>
      <w:proofErr w:type="spellStart"/>
      <w:r w:rsidR="00702DCE" w:rsidRPr="00FA2382">
        <w:rPr>
          <w:rFonts w:ascii="Times New Roman" w:hAnsi="Times New Roman" w:cs="Times New Roman"/>
          <w:sz w:val="24"/>
        </w:rPr>
        <w:t>cFT</w:t>
      </w:r>
      <w:proofErr w:type="spellEnd"/>
      <w:r w:rsidR="00702DCE" w:rsidRPr="00FA2382">
        <w:rPr>
          <w:rFonts w:ascii="Times New Roman" w:hAnsi="Times New Roman" w:cs="Times New Roman"/>
          <w:sz w:val="24"/>
        </w:rPr>
        <w:t>) Squares represent hazard ratios (HRs) with 95% confidence intervals (CIs) for individual studies. The size of each square corresponds to the study's weight in the meta-analysis. Diamonds indicate the pooled estimates for each age subgroup</w:t>
      </w:r>
      <w:r w:rsidR="00702DCE">
        <w:rPr>
          <w:rFonts w:ascii="Times New Roman" w:hAnsi="Times New Roman" w:cs="Times New Roman" w:hint="eastAsia"/>
          <w:sz w:val="24"/>
        </w:rPr>
        <w:t xml:space="preserve"> </w:t>
      </w:r>
      <w:r w:rsidR="00702DCE" w:rsidRPr="00FA2382">
        <w:rPr>
          <w:rFonts w:ascii="Times New Roman" w:hAnsi="Times New Roman" w:cs="Times New Roman"/>
          <w:sz w:val="24"/>
        </w:rPr>
        <w:t>(</w:t>
      </w:r>
      <w:r w:rsidR="00702DCE" w:rsidRPr="00FA2382">
        <w:rPr>
          <w:rFonts w:ascii="Times New Roman" w:hAnsi="Times New Roman" w:cs="Times New Roman" w:hint="eastAsia"/>
          <w:sz w:val="24"/>
          <w:szCs w:val="32"/>
        </w:rPr>
        <w:t>Male and Female</w:t>
      </w:r>
      <w:r w:rsidR="00702DCE" w:rsidRPr="00FA2382">
        <w:rPr>
          <w:rFonts w:ascii="Times New Roman" w:hAnsi="Times New Roman" w:cs="Times New Roman"/>
          <w:sz w:val="24"/>
        </w:rPr>
        <w:t>).</w:t>
      </w:r>
    </w:p>
    <w:p w14:paraId="31970208" w14:textId="51CB167F" w:rsidR="006043A9" w:rsidRDefault="00E348E4" w:rsidP="00EE65E2">
      <w:pPr>
        <w:widowControl/>
        <w:spacing w:after="240"/>
        <w:rPr>
          <w:rFonts w:ascii="Times New Roman" w:hAnsi="Times New Roman" w:cs="Times New Roman"/>
          <w:sz w:val="24"/>
        </w:rPr>
      </w:pPr>
      <w:r>
        <w:rPr>
          <w:noProof/>
        </w:rPr>
        <w:lastRenderedPageBreak/>
        <w:drawing>
          <wp:anchor distT="0" distB="0" distL="114300" distR="114300" simplePos="0" relativeHeight="251693056" behindDoc="0" locked="0" layoutInCell="1" allowOverlap="1" wp14:anchorId="1B79E22C" wp14:editId="717824A8">
            <wp:simplePos x="0" y="0"/>
            <wp:positionH relativeFrom="margin">
              <wp:align>center</wp:align>
            </wp:positionH>
            <wp:positionV relativeFrom="paragraph">
              <wp:posOffset>11575</wp:posOffset>
            </wp:positionV>
            <wp:extent cx="4884420" cy="5723890"/>
            <wp:effectExtent l="0" t="0" r="0" b="0"/>
            <wp:wrapTopAndBottom/>
            <wp:docPr id="9299532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4420" cy="5723890"/>
                    </a:xfrm>
                    <a:prstGeom prst="rect">
                      <a:avLst/>
                    </a:prstGeom>
                    <a:noFill/>
                    <a:ln>
                      <a:noFill/>
                    </a:ln>
                  </pic:spPr>
                </pic:pic>
              </a:graphicData>
            </a:graphic>
            <wp14:sizeRelH relativeFrom="page">
              <wp14:pctWidth>0</wp14:pctWidth>
            </wp14:sizeRelH>
            <wp14:sizeRelV relativeFrom="page">
              <wp14:pctHeight>0</wp14:pctHeight>
            </wp14:sizeRelV>
          </wp:anchor>
        </w:drawing>
      </w:r>
      <w:r w:rsidR="00EE65E2" w:rsidRPr="00FA2382">
        <w:rPr>
          <w:rFonts w:ascii="Times New Roman" w:hAnsi="Times New Roman" w:cs="Times New Roman"/>
          <w:sz w:val="24"/>
        </w:rPr>
        <w:t>Supplementary Fig.</w:t>
      </w:r>
      <w:r w:rsidR="00EE65E2">
        <w:rPr>
          <w:rFonts w:ascii="Times New Roman" w:hAnsi="Times New Roman" w:cs="Times New Roman" w:hint="eastAsia"/>
          <w:sz w:val="24"/>
        </w:rPr>
        <w:t>1</w:t>
      </w:r>
      <w:r w:rsidR="00702DCE">
        <w:rPr>
          <w:rFonts w:ascii="Times New Roman" w:hAnsi="Times New Roman" w:cs="Times New Roman" w:hint="eastAsia"/>
          <w:sz w:val="24"/>
        </w:rPr>
        <w:t>3</w:t>
      </w:r>
      <w:r w:rsidR="00EE65E2" w:rsidRPr="00FA2382">
        <w:rPr>
          <w:rFonts w:ascii="Times New Roman" w:hAnsi="Times New Roman" w:cs="Times New Roman"/>
          <w:sz w:val="24"/>
        </w:rPr>
        <w:t xml:space="preserve"> Forest plots showing the association between sex hormones and the risk of </w:t>
      </w:r>
      <w:r w:rsidR="00EE65E2">
        <w:rPr>
          <w:rFonts w:ascii="Times New Roman" w:hAnsi="Times New Roman" w:cs="Times New Roman" w:hint="eastAsia"/>
          <w:sz w:val="24"/>
        </w:rPr>
        <w:t>all-cause</w:t>
      </w:r>
      <w:r w:rsidR="00EE65E2" w:rsidRPr="00FA2382">
        <w:rPr>
          <w:rFonts w:ascii="Times New Roman" w:hAnsi="Times New Roman" w:cs="Times New Roman"/>
          <w:sz w:val="24"/>
        </w:rPr>
        <w:t xml:space="preserve"> mortality, stratified by age. (A)</w:t>
      </w:r>
      <w:r w:rsidR="00EE65E2" w:rsidRPr="00EE65E2">
        <w:rPr>
          <w:rFonts w:ascii="Times New Roman" w:hAnsi="Times New Roman" w:cs="Times New Roman" w:hint="eastAsia"/>
          <w:sz w:val="24"/>
          <w:szCs w:val="32"/>
        </w:rPr>
        <w:t xml:space="preserve"> </w:t>
      </w:r>
      <w:r w:rsidR="00EE65E2" w:rsidRPr="00FA2382">
        <w:rPr>
          <w:rFonts w:ascii="Times New Roman" w:hAnsi="Times New Roman" w:cs="Times New Roman"/>
          <w:sz w:val="24"/>
        </w:rPr>
        <w:t>Sex hormone-binding globulin (SHBG)</w:t>
      </w:r>
      <w:r w:rsidR="00EE65E2">
        <w:rPr>
          <w:rFonts w:ascii="Times New Roman" w:hAnsi="Times New Roman" w:cs="Times New Roman" w:hint="eastAsia"/>
          <w:sz w:val="24"/>
          <w:szCs w:val="32"/>
        </w:rPr>
        <w:t>, (B)</w:t>
      </w:r>
      <w:r w:rsidR="00EE65E2" w:rsidRPr="00EE65E2">
        <w:rPr>
          <w:rFonts w:ascii="Times New Roman" w:hAnsi="Times New Roman" w:cs="Times New Roman" w:hint="eastAsia"/>
          <w:sz w:val="24"/>
          <w:szCs w:val="32"/>
        </w:rPr>
        <w:t xml:space="preserve"> </w:t>
      </w:r>
      <w:r w:rsidR="00EE65E2" w:rsidRPr="00FA2382">
        <w:rPr>
          <w:rFonts w:ascii="Times New Roman" w:hAnsi="Times New Roman" w:cs="Times New Roman" w:hint="eastAsia"/>
          <w:sz w:val="24"/>
          <w:szCs w:val="32"/>
        </w:rPr>
        <w:t>Total testosterone</w:t>
      </w:r>
      <w:r w:rsidR="00EE65E2">
        <w:rPr>
          <w:rFonts w:ascii="Times New Roman" w:hAnsi="Times New Roman" w:cs="Times New Roman" w:hint="eastAsia"/>
          <w:sz w:val="24"/>
          <w:szCs w:val="32"/>
        </w:rPr>
        <w:t xml:space="preserve"> (TT)</w:t>
      </w:r>
      <w:r w:rsidR="00EE65E2" w:rsidRPr="00FA2382">
        <w:rPr>
          <w:rFonts w:ascii="Times New Roman" w:hAnsi="Times New Roman" w:cs="Times New Roman"/>
          <w:sz w:val="24"/>
        </w:rPr>
        <w:t>, (</w:t>
      </w:r>
      <w:r w:rsidR="00EE65E2">
        <w:rPr>
          <w:rFonts w:ascii="Times New Roman" w:hAnsi="Times New Roman" w:cs="Times New Roman" w:hint="eastAsia"/>
          <w:sz w:val="24"/>
        </w:rPr>
        <w:t>C</w:t>
      </w:r>
      <w:r w:rsidR="00EE65E2" w:rsidRPr="00FA2382">
        <w:rPr>
          <w:rFonts w:ascii="Times New Roman" w:hAnsi="Times New Roman" w:cs="Times New Roman"/>
          <w:sz w:val="24"/>
        </w:rPr>
        <w:t xml:space="preserve">) </w:t>
      </w:r>
      <w:r w:rsidR="00EE65E2">
        <w:rPr>
          <w:rFonts w:ascii="Times New Roman" w:hAnsi="Times New Roman" w:cs="Times New Roman" w:hint="eastAsia"/>
          <w:sz w:val="24"/>
        </w:rPr>
        <w:t>c</w:t>
      </w:r>
      <w:r w:rsidR="00EE65E2" w:rsidRPr="00FA2382">
        <w:rPr>
          <w:rFonts w:ascii="Times New Roman" w:hAnsi="Times New Roman" w:cs="Times New Roman"/>
          <w:sz w:val="24"/>
        </w:rPr>
        <w:t>alculated free testosterone (</w:t>
      </w:r>
      <w:proofErr w:type="spellStart"/>
      <w:r w:rsidR="00EE65E2" w:rsidRPr="00FA2382">
        <w:rPr>
          <w:rFonts w:ascii="Times New Roman" w:hAnsi="Times New Roman" w:cs="Times New Roman"/>
          <w:sz w:val="24"/>
        </w:rPr>
        <w:t>cFT</w:t>
      </w:r>
      <w:proofErr w:type="spellEnd"/>
      <w:r w:rsidR="00EE65E2" w:rsidRPr="00FA2382">
        <w:rPr>
          <w:rFonts w:ascii="Times New Roman" w:hAnsi="Times New Roman" w:cs="Times New Roman"/>
          <w:sz w:val="24"/>
        </w:rPr>
        <w:t>) Squares represent hazard ratios (HRs) with 95% confidence intervals (CIs) for individual studies. The size of each square corresponds to the study's weight in the meta-analysis. Diamonds indicate the pooled estimates for each age subgroup (&lt;60 years and ≥60 years).</w:t>
      </w:r>
    </w:p>
    <w:p w14:paraId="38572D28" w14:textId="77777777" w:rsidR="006043A9" w:rsidRDefault="006043A9">
      <w:pPr>
        <w:widowControl/>
        <w:jc w:val="left"/>
        <w:rPr>
          <w:rFonts w:ascii="Times New Roman" w:hAnsi="Times New Roman" w:cs="Times New Roman"/>
          <w:sz w:val="24"/>
        </w:rPr>
      </w:pPr>
      <w:r>
        <w:rPr>
          <w:rFonts w:ascii="Times New Roman" w:hAnsi="Times New Roman" w:cs="Times New Roman"/>
          <w:sz w:val="24"/>
        </w:rPr>
        <w:br w:type="page"/>
      </w:r>
    </w:p>
    <w:p w14:paraId="15AF7BAB" w14:textId="2B438D19" w:rsidR="00702DCE" w:rsidRDefault="00E348E4" w:rsidP="00EE65E2">
      <w:pPr>
        <w:widowControl/>
        <w:spacing w:after="240"/>
        <w:rPr>
          <w:rFonts w:ascii="Times New Roman" w:hAnsi="Times New Roman" w:cs="Times New Roman"/>
          <w:sz w:val="24"/>
        </w:rPr>
      </w:pPr>
      <w:r>
        <w:rPr>
          <w:noProof/>
        </w:rPr>
        <w:lastRenderedPageBreak/>
        <w:drawing>
          <wp:inline distT="0" distB="0" distL="0" distR="0" wp14:anchorId="445A0AF3" wp14:editId="77E04306">
            <wp:extent cx="5274310" cy="5555615"/>
            <wp:effectExtent l="0" t="0" r="2540" b="6985"/>
            <wp:docPr id="84563169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5555615"/>
                    </a:xfrm>
                    <a:prstGeom prst="rect">
                      <a:avLst/>
                    </a:prstGeom>
                    <a:noFill/>
                    <a:ln>
                      <a:noFill/>
                    </a:ln>
                  </pic:spPr>
                </pic:pic>
              </a:graphicData>
            </a:graphic>
          </wp:inline>
        </w:drawing>
      </w:r>
      <w:r w:rsidR="00702DCE" w:rsidRPr="00FA2382">
        <w:rPr>
          <w:rFonts w:ascii="Times New Roman" w:hAnsi="Times New Roman" w:cs="Times New Roman"/>
          <w:sz w:val="24"/>
        </w:rPr>
        <w:t>Supplementary Fig.</w:t>
      </w:r>
      <w:r w:rsidR="00702DCE">
        <w:rPr>
          <w:rFonts w:ascii="Times New Roman" w:hAnsi="Times New Roman" w:cs="Times New Roman" w:hint="eastAsia"/>
          <w:sz w:val="24"/>
        </w:rPr>
        <w:t xml:space="preserve">14 </w:t>
      </w:r>
      <w:r w:rsidR="00702DCE" w:rsidRPr="00FA2382">
        <w:rPr>
          <w:rFonts w:ascii="Times New Roman" w:hAnsi="Times New Roman" w:cs="Times New Roman" w:hint="eastAsia"/>
          <w:sz w:val="24"/>
          <w:szCs w:val="32"/>
        </w:rPr>
        <w:t>Forest plots showing the association between sex hormones and the risk of postmenopausal women. (A) Sex hormone-binding globulin (SHBG), (B) Total testosterone, (C) Calculated free testosterone (</w:t>
      </w:r>
      <w:proofErr w:type="spellStart"/>
      <w:r w:rsidR="00702DCE" w:rsidRPr="00FA2382">
        <w:rPr>
          <w:rFonts w:ascii="Times New Roman" w:hAnsi="Times New Roman" w:cs="Times New Roman" w:hint="eastAsia"/>
          <w:sz w:val="24"/>
          <w:szCs w:val="32"/>
        </w:rPr>
        <w:t>cFT</w:t>
      </w:r>
      <w:proofErr w:type="spellEnd"/>
      <w:r w:rsidR="00702DCE" w:rsidRPr="00FA2382">
        <w:rPr>
          <w:rFonts w:ascii="Times New Roman" w:hAnsi="Times New Roman" w:cs="Times New Roman" w:hint="eastAsia"/>
          <w:sz w:val="24"/>
          <w:szCs w:val="32"/>
        </w:rPr>
        <w:t>) and (D) Estradiol. Squares represent hazard ratios (HRs) with 95% confidence intervals (CIs) for individual studies.</w:t>
      </w:r>
    </w:p>
    <w:p w14:paraId="1B4247F2" w14:textId="1A136172" w:rsidR="00E92628" w:rsidRPr="00FA2382" w:rsidRDefault="00517850" w:rsidP="00E92628">
      <w:pPr>
        <w:widowControl/>
        <w:spacing w:after="240"/>
        <w:jc w:val="left"/>
        <w:rPr>
          <w:rFonts w:hint="eastAsia"/>
          <w:sz w:val="24"/>
          <w:szCs w:val="32"/>
        </w:rPr>
      </w:pPr>
      <w:r>
        <w:br w:type="page"/>
      </w:r>
    </w:p>
    <w:p w14:paraId="1CBB668D" w14:textId="63CCD5C6" w:rsidR="00703F51" w:rsidRDefault="00E348E4" w:rsidP="009B0F09">
      <w:pPr>
        <w:spacing w:after="240"/>
        <w:rPr>
          <w:rFonts w:ascii="Times New Roman" w:hAnsi="Times New Roman" w:cs="Times New Roman"/>
          <w:sz w:val="24"/>
        </w:rPr>
      </w:pPr>
      <w:r>
        <w:rPr>
          <w:noProof/>
        </w:rPr>
        <w:lastRenderedPageBreak/>
        <w:drawing>
          <wp:anchor distT="0" distB="0" distL="114300" distR="114300" simplePos="0" relativeHeight="251694080" behindDoc="0" locked="0" layoutInCell="1" allowOverlap="1" wp14:anchorId="74811D9E" wp14:editId="001D1CA3">
            <wp:simplePos x="0" y="0"/>
            <wp:positionH relativeFrom="margin">
              <wp:align>center</wp:align>
            </wp:positionH>
            <wp:positionV relativeFrom="paragraph">
              <wp:posOffset>52070</wp:posOffset>
            </wp:positionV>
            <wp:extent cx="4907280" cy="6906260"/>
            <wp:effectExtent l="0" t="0" r="7620" b="8890"/>
            <wp:wrapTopAndBottom/>
            <wp:docPr id="11748552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7280" cy="6906260"/>
                    </a:xfrm>
                    <a:prstGeom prst="rect">
                      <a:avLst/>
                    </a:prstGeom>
                    <a:noFill/>
                    <a:ln>
                      <a:noFill/>
                    </a:ln>
                  </pic:spPr>
                </pic:pic>
              </a:graphicData>
            </a:graphic>
            <wp14:sizeRelH relativeFrom="page">
              <wp14:pctWidth>0</wp14:pctWidth>
            </wp14:sizeRelH>
            <wp14:sizeRelV relativeFrom="page">
              <wp14:pctHeight>0</wp14:pctHeight>
            </wp14:sizeRelV>
          </wp:anchor>
        </w:drawing>
      </w:r>
      <w:r w:rsidR="00C3539C" w:rsidRPr="00386D5B">
        <w:rPr>
          <w:rFonts w:ascii="Times New Roman" w:hAnsi="Times New Roman" w:cs="Times New Roman"/>
          <w:sz w:val="24"/>
        </w:rPr>
        <w:t>Supplementary Fig</w:t>
      </w:r>
      <w:r w:rsidR="00C3539C">
        <w:rPr>
          <w:rFonts w:ascii="Times New Roman" w:hAnsi="Times New Roman" w:cs="Times New Roman" w:hint="eastAsia"/>
          <w:sz w:val="24"/>
        </w:rPr>
        <w:t>.15</w:t>
      </w:r>
      <w:r w:rsidR="00C3539C" w:rsidRPr="00386D5B">
        <w:rPr>
          <w:rFonts w:ascii="Times New Roman" w:hAnsi="Times New Roman" w:cs="Times New Roman"/>
          <w:sz w:val="24"/>
        </w:rPr>
        <w:t xml:space="preserve"> Funnel plot and leave-one-out sensitivity analysis for the association between</w:t>
      </w:r>
      <w:r w:rsidR="00C3539C">
        <w:rPr>
          <w:rFonts w:ascii="Times New Roman" w:hAnsi="Times New Roman" w:cs="Times New Roman" w:hint="eastAsia"/>
          <w:sz w:val="24"/>
        </w:rPr>
        <w:t xml:space="preserve"> SHBG</w:t>
      </w:r>
      <w:r w:rsidR="00C3539C" w:rsidRPr="00386D5B">
        <w:rPr>
          <w:rFonts w:ascii="Times New Roman" w:hAnsi="Times New Roman" w:cs="Times New Roman"/>
          <w:sz w:val="24"/>
        </w:rPr>
        <w:t xml:space="preserve"> and </w:t>
      </w:r>
      <w:r w:rsidR="00C3539C">
        <w:rPr>
          <w:rFonts w:ascii="Times New Roman" w:hAnsi="Times New Roman" w:cs="Times New Roman" w:hint="eastAsia"/>
          <w:sz w:val="24"/>
        </w:rPr>
        <w:t>CVD</w:t>
      </w:r>
      <w:r w:rsidR="00C3539C" w:rsidRPr="00386D5B">
        <w:rPr>
          <w:rFonts w:ascii="Times New Roman" w:hAnsi="Times New Roman" w:cs="Times New Roman"/>
          <w:sz w:val="24"/>
        </w:rPr>
        <w:t xml:space="preserve"> risk in men.</w:t>
      </w:r>
      <w:r w:rsidR="00C3539C">
        <w:rPr>
          <w:rFonts w:ascii="Times New Roman" w:hAnsi="Times New Roman" w:cs="Times New Roman" w:hint="eastAsia"/>
          <w:sz w:val="24"/>
        </w:rPr>
        <w:t xml:space="preserve"> </w:t>
      </w:r>
      <w:r w:rsidR="00C3539C" w:rsidRPr="00386D5B">
        <w:rPr>
          <w:rFonts w:ascii="Times New Roman" w:hAnsi="Times New Roman" w:cs="Times New Roman"/>
          <w:sz w:val="24"/>
        </w:rPr>
        <w:t>(A) Funnel plot displaying study-specific hazard ratios (HRs) plotted against their standard errors, used to evaluate potential publication bias. The degree of symmetry reflects the likelihood of small-study effects.</w:t>
      </w:r>
      <w:r w:rsidR="00C3539C">
        <w:rPr>
          <w:rFonts w:ascii="Times New Roman" w:hAnsi="Times New Roman" w:cs="Times New Roman" w:hint="eastAsia"/>
          <w:sz w:val="24"/>
        </w:rPr>
        <w:t xml:space="preserve"> </w:t>
      </w:r>
      <w:r w:rsidR="00C3539C" w:rsidRPr="00386D5B">
        <w:rPr>
          <w:rFonts w:ascii="Times New Roman" w:hAnsi="Times New Roman" w:cs="Times New Roman"/>
          <w:sz w:val="24"/>
        </w:rPr>
        <w:t>(B) Leave-one-out sensitivity analysis, where each study is sequentially omitted to assess the stability of the pooled effect estimate. Squares represent recalculated pooled HRs after exclusion of each individual study, and horizontal lines denote the corresponding 95% confidence intervals. Consistent findings across iterations indicate strong robustness of the meta-analytic results.</w:t>
      </w:r>
    </w:p>
    <w:p w14:paraId="44233FB3" w14:textId="72C2CB91" w:rsidR="00C3539C" w:rsidRPr="00C3539C" w:rsidRDefault="00E348E4" w:rsidP="009B0F09">
      <w:pPr>
        <w:spacing w:after="240"/>
        <w:rPr>
          <w:rFonts w:ascii="Times New Roman" w:hAnsi="Times New Roman" w:cs="Times New Roman"/>
          <w:sz w:val="24"/>
        </w:rPr>
      </w:pPr>
      <w:r>
        <w:rPr>
          <w:noProof/>
        </w:rPr>
        <w:lastRenderedPageBreak/>
        <w:drawing>
          <wp:anchor distT="0" distB="0" distL="114300" distR="114300" simplePos="0" relativeHeight="251695104" behindDoc="0" locked="0" layoutInCell="1" allowOverlap="1" wp14:anchorId="7F71AB40" wp14:editId="5D116A05">
            <wp:simplePos x="0" y="0"/>
            <wp:positionH relativeFrom="margin">
              <wp:align>center</wp:align>
            </wp:positionH>
            <wp:positionV relativeFrom="paragraph">
              <wp:posOffset>57785</wp:posOffset>
            </wp:positionV>
            <wp:extent cx="4669790" cy="6911340"/>
            <wp:effectExtent l="0" t="0" r="0" b="3810"/>
            <wp:wrapTopAndBottom/>
            <wp:docPr id="4158967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69790" cy="6911340"/>
                    </a:xfrm>
                    <a:prstGeom prst="rect">
                      <a:avLst/>
                    </a:prstGeom>
                    <a:noFill/>
                    <a:ln>
                      <a:noFill/>
                    </a:ln>
                  </pic:spPr>
                </pic:pic>
              </a:graphicData>
            </a:graphic>
            <wp14:sizeRelH relativeFrom="page">
              <wp14:pctWidth>0</wp14:pctWidth>
            </wp14:sizeRelH>
            <wp14:sizeRelV relativeFrom="page">
              <wp14:pctHeight>0</wp14:pctHeight>
            </wp14:sizeRelV>
          </wp:anchor>
        </w:drawing>
      </w:r>
      <w:r w:rsidR="00C3539C" w:rsidRPr="00386D5B">
        <w:rPr>
          <w:rFonts w:ascii="Times New Roman" w:hAnsi="Times New Roman" w:cs="Times New Roman"/>
          <w:sz w:val="24"/>
        </w:rPr>
        <w:t>Supplementary Fig</w:t>
      </w:r>
      <w:r w:rsidR="00C3539C">
        <w:rPr>
          <w:rFonts w:ascii="Times New Roman" w:hAnsi="Times New Roman" w:cs="Times New Roman" w:hint="eastAsia"/>
          <w:sz w:val="24"/>
        </w:rPr>
        <w:t>.16</w:t>
      </w:r>
      <w:r w:rsidR="00C3539C" w:rsidRPr="00386D5B">
        <w:rPr>
          <w:rFonts w:ascii="Times New Roman" w:hAnsi="Times New Roman" w:cs="Times New Roman"/>
          <w:sz w:val="24"/>
        </w:rPr>
        <w:t xml:space="preserve"> Funnel plot and leave-one-out sensitivity analysis for the association between</w:t>
      </w:r>
      <w:r w:rsidR="00C3539C">
        <w:rPr>
          <w:rFonts w:ascii="Times New Roman" w:hAnsi="Times New Roman" w:cs="Times New Roman" w:hint="eastAsia"/>
          <w:sz w:val="24"/>
        </w:rPr>
        <w:t xml:space="preserve"> TT</w:t>
      </w:r>
      <w:r w:rsidR="00C3539C" w:rsidRPr="00386D5B">
        <w:rPr>
          <w:rFonts w:ascii="Times New Roman" w:hAnsi="Times New Roman" w:cs="Times New Roman"/>
          <w:sz w:val="24"/>
        </w:rPr>
        <w:t xml:space="preserve"> and </w:t>
      </w:r>
      <w:r w:rsidR="00C3539C">
        <w:rPr>
          <w:rFonts w:ascii="Times New Roman" w:hAnsi="Times New Roman" w:cs="Times New Roman" w:hint="eastAsia"/>
          <w:sz w:val="24"/>
        </w:rPr>
        <w:t>CVD</w:t>
      </w:r>
      <w:r w:rsidR="00C3539C" w:rsidRPr="00386D5B">
        <w:rPr>
          <w:rFonts w:ascii="Times New Roman" w:hAnsi="Times New Roman" w:cs="Times New Roman"/>
          <w:sz w:val="24"/>
        </w:rPr>
        <w:t xml:space="preserve"> risk in </w:t>
      </w:r>
      <w:r w:rsidR="00C3539C">
        <w:rPr>
          <w:rFonts w:ascii="Times New Roman" w:hAnsi="Times New Roman" w:cs="Times New Roman" w:hint="eastAsia"/>
          <w:sz w:val="24"/>
        </w:rPr>
        <w:t>men</w:t>
      </w:r>
      <w:r w:rsidR="00C3539C" w:rsidRPr="00386D5B">
        <w:rPr>
          <w:rFonts w:ascii="Times New Roman" w:hAnsi="Times New Roman" w:cs="Times New Roman"/>
          <w:sz w:val="24"/>
        </w:rPr>
        <w:t>.</w:t>
      </w:r>
      <w:r w:rsidR="00C3539C">
        <w:rPr>
          <w:rFonts w:ascii="Times New Roman" w:hAnsi="Times New Roman" w:cs="Times New Roman" w:hint="eastAsia"/>
          <w:sz w:val="24"/>
        </w:rPr>
        <w:t xml:space="preserve"> </w:t>
      </w:r>
      <w:r w:rsidR="00C3539C" w:rsidRPr="00386D5B">
        <w:rPr>
          <w:rFonts w:ascii="Times New Roman" w:hAnsi="Times New Roman" w:cs="Times New Roman"/>
          <w:sz w:val="24"/>
        </w:rPr>
        <w:t>(A) Funnel plot depicting study-specific hazard ratios (HRs) plotted against their standard errors to assess the presence of small-study effects. Symmetry of the plot suggests a lower likelihood of publication bias.</w:t>
      </w:r>
      <w:r w:rsidR="00C3539C">
        <w:rPr>
          <w:rFonts w:ascii="Times New Roman" w:hAnsi="Times New Roman" w:cs="Times New Roman" w:hint="eastAsia"/>
          <w:sz w:val="24"/>
        </w:rPr>
        <w:t xml:space="preserve"> </w:t>
      </w:r>
      <w:r w:rsidR="00C3539C" w:rsidRPr="00386D5B">
        <w:rPr>
          <w:rFonts w:ascii="Times New Roman" w:hAnsi="Times New Roman" w:cs="Times New Roman"/>
          <w:sz w:val="24"/>
        </w:rPr>
        <w:t>(B) Leave-one-out sensitivity analysis, in which each study is sequentially omitted to examine the stability of the pooled estimate. Squares represent pooled HRs recalculated after omitting each individual study, and horizontal lines indicate the corresponding 95% confidence intervals. Consistent effect estimates across exclusions support the robustness of the meta-analytic findings.</w:t>
      </w:r>
    </w:p>
    <w:p w14:paraId="7D882244" w14:textId="468960D1" w:rsidR="006043A9" w:rsidRDefault="00E348E4" w:rsidP="009B0F09">
      <w:pPr>
        <w:spacing w:after="240"/>
        <w:rPr>
          <w:rFonts w:ascii="Times New Roman" w:hAnsi="Times New Roman" w:cs="Times New Roman"/>
          <w:sz w:val="24"/>
        </w:rPr>
      </w:pPr>
      <w:r>
        <w:rPr>
          <w:noProof/>
        </w:rPr>
        <w:lastRenderedPageBreak/>
        <w:drawing>
          <wp:anchor distT="0" distB="0" distL="114300" distR="114300" simplePos="0" relativeHeight="251696128" behindDoc="0" locked="0" layoutInCell="1" allowOverlap="1" wp14:anchorId="73608E01" wp14:editId="034083EA">
            <wp:simplePos x="0" y="0"/>
            <wp:positionH relativeFrom="margin">
              <wp:align>center</wp:align>
            </wp:positionH>
            <wp:positionV relativeFrom="paragraph">
              <wp:posOffset>69448</wp:posOffset>
            </wp:positionV>
            <wp:extent cx="5274310" cy="5412740"/>
            <wp:effectExtent l="0" t="0" r="2540" b="0"/>
            <wp:wrapTopAndBottom/>
            <wp:docPr id="189353397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5412740"/>
                    </a:xfrm>
                    <a:prstGeom prst="rect">
                      <a:avLst/>
                    </a:prstGeom>
                    <a:noFill/>
                    <a:ln>
                      <a:noFill/>
                    </a:ln>
                  </pic:spPr>
                </pic:pic>
              </a:graphicData>
            </a:graphic>
            <wp14:sizeRelH relativeFrom="page">
              <wp14:pctWidth>0</wp14:pctWidth>
            </wp14:sizeRelH>
            <wp14:sizeRelV relativeFrom="page">
              <wp14:pctHeight>0</wp14:pctHeight>
            </wp14:sizeRelV>
          </wp:anchor>
        </w:drawing>
      </w:r>
      <w:r w:rsidR="00C3539C" w:rsidRPr="00386D5B">
        <w:rPr>
          <w:rFonts w:ascii="Times New Roman" w:hAnsi="Times New Roman" w:cs="Times New Roman"/>
          <w:sz w:val="24"/>
        </w:rPr>
        <w:t>Supplementary Fig</w:t>
      </w:r>
      <w:r w:rsidR="00C3539C">
        <w:rPr>
          <w:rFonts w:ascii="Times New Roman" w:hAnsi="Times New Roman" w:cs="Times New Roman" w:hint="eastAsia"/>
          <w:sz w:val="24"/>
        </w:rPr>
        <w:t>.17</w:t>
      </w:r>
      <w:r w:rsidR="00386D5B" w:rsidRPr="00386D5B">
        <w:rPr>
          <w:rFonts w:ascii="Times New Roman" w:hAnsi="Times New Roman" w:cs="Times New Roman"/>
          <w:sz w:val="24"/>
        </w:rPr>
        <w:t xml:space="preserve"> Funnel plot and leave-one-out sensitivity analysis for the association between </w:t>
      </w:r>
      <w:proofErr w:type="spellStart"/>
      <w:r w:rsidR="00386D5B" w:rsidRPr="00386D5B">
        <w:rPr>
          <w:rFonts w:ascii="Times New Roman" w:hAnsi="Times New Roman" w:cs="Times New Roman"/>
          <w:sz w:val="24"/>
        </w:rPr>
        <w:t>cFT</w:t>
      </w:r>
      <w:proofErr w:type="spellEnd"/>
      <w:r w:rsidR="00386D5B" w:rsidRPr="00386D5B">
        <w:rPr>
          <w:rFonts w:ascii="Times New Roman" w:hAnsi="Times New Roman" w:cs="Times New Roman"/>
          <w:sz w:val="24"/>
        </w:rPr>
        <w:t xml:space="preserve"> and </w:t>
      </w:r>
      <w:r w:rsidR="00386D5B">
        <w:rPr>
          <w:rFonts w:ascii="Times New Roman" w:hAnsi="Times New Roman" w:cs="Times New Roman" w:hint="eastAsia"/>
          <w:sz w:val="24"/>
        </w:rPr>
        <w:t>CVD</w:t>
      </w:r>
      <w:r w:rsidR="00386D5B" w:rsidRPr="00386D5B">
        <w:rPr>
          <w:rFonts w:ascii="Times New Roman" w:hAnsi="Times New Roman" w:cs="Times New Roman"/>
          <w:sz w:val="24"/>
        </w:rPr>
        <w:t xml:space="preserve"> risk in men.</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(A) Funnel plot evaluating potential publication bias, with hazard ratios (HRs) plotted against their standard errors. Symmetry of the plot reflects low likelihood of small-study effects.</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(B) Leave-one-out sensitivity analysis, in which each study is sequentially omitted to evaluate the stability of the pooled effect estimate. Squares represent the pooled HRs after omitting each individual study, with horizontal lines indicating the corresponding 95% confidence intervals. Consistent effect estimates across omissions indicate good robustness of the meta-analysis results.</w:t>
      </w:r>
    </w:p>
    <w:p w14:paraId="63F25223" w14:textId="77777777" w:rsidR="006043A9" w:rsidRDefault="006043A9">
      <w:pPr>
        <w:widowControl/>
        <w:jc w:val="left"/>
        <w:rPr>
          <w:rFonts w:ascii="Times New Roman" w:hAnsi="Times New Roman" w:cs="Times New Roman"/>
          <w:sz w:val="24"/>
        </w:rPr>
      </w:pPr>
      <w:r>
        <w:rPr>
          <w:rFonts w:ascii="Times New Roman" w:hAnsi="Times New Roman" w:cs="Times New Roman"/>
          <w:sz w:val="24"/>
        </w:rPr>
        <w:br w:type="page"/>
      </w:r>
    </w:p>
    <w:p w14:paraId="3A99EF7E" w14:textId="538AA1DD" w:rsidR="00E348E4" w:rsidRDefault="00E348E4" w:rsidP="009B0F09">
      <w:pPr>
        <w:spacing w:after="240"/>
        <w:rPr>
          <w:rFonts w:ascii="Times New Roman" w:hAnsi="Times New Roman" w:cs="Times New Roman" w:hint="eastAsia"/>
          <w:sz w:val="24"/>
        </w:rPr>
      </w:pPr>
      <w:r>
        <w:rPr>
          <w:noProof/>
        </w:rPr>
        <w:lastRenderedPageBreak/>
        <w:drawing>
          <wp:anchor distT="0" distB="0" distL="114300" distR="114300" simplePos="0" relativeHeight="251697152" behindDoc="0" locked="0" layoutInCell="1" allowOverlap="1" wp14:anchorId="28CA8703" wp14:editId="41B97815">
            <wp:simplePos x="0" y="0"/>
            <wp:positionH relativeFrom="margin">
              <wp:align>center</wp:align>
            </wp:positionH>
            <wp:positionV relativeFrom="paragraph">
              <wp:posOffset>11575</wp:posOffset>
            </wp:positionV>
            <wp:extent cx="5274310" cy="5721350"/>
            <wp:effectExtent l="0" t="0" r="2540" b="0"/>
            <wp:wrapTopAndBottom/>
            <wp:docPr id="15064967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5721350"/>
                    </a:xfrm>
                    <a:prstGeom prst="rect">
                      <a:avLst/>
                    </a:prstGeom>
                    <a:noFill/>
                    <a:ln>
                      <a:noFill/>
                    </a:ln>
                  </pic:spPr>
                </pic:pic>
              </a:graphicData>
            </a:graphic>
            <wp14:sizeRelH relativeFrom="page">
              <wp14:pctWidth>0</wp14:pctWidth>
            </wp14:sizeRelH>
            <wp14:sizeRelV relativeFrom="page">
              <wp14:pctHeight>0</wp14:pctHeight>
            </wp14:sizeRelV>
          </wp:anchor>
        </w:drawing>
      </w:r>
      <w:r w:rsidR="00C3539C" w:rsidRPr="00386D5B">
        <w:rPr>
          <w:rFonts w:ascii="Times New Roman" w:hAnsi="Times New Roman" w:cs="Times New Roman"/>
          <w:sz w:val="24"/>
        </w:rPr>
        <w:t>Supplementary Fig</w:t>
      </w:r>
      <w:r w:rsidR="00C3539C">
        <w:rPr>
          <w:rFonts w:ascii="Times New Roman" w:hAnsi="Times New Roman" w:cs="Times New Roman" w:hint="eastAsia"/>
          <w:sz w:val="24"/>
        </w:rPr>
        <w:t>.18</w:t>
      </w:r>
      <w:r w:rsidR="00386D5B" w:rsidRPr="00386D5B">
        <w:rPr>
          <w:rFonts w:ascii="Times New Roman" w:hAnsi="Times New Roman" w:cs="Times New Roman"/>
          <w:sz w:val="24"/>
        </w:rPr>
        <w:t xml:space="preserve"> Funnel plot and leave-one-out sensitivity analysis for the association between</w:t>
      </w:r>
      <w:r w:rsidR="00386D5B">
        <w:rPr>
          <w:rFonts w:ascii="Times New Roman" w:hAnsi="Times New Roman" w:cs="Times New Roman" w:hint="eastAsia"/>
          <w:sz w:val="24"/>
        </w:rPr>
        <w:t xml:space="preserve"> E2</w:t>
      </w:r>
      <w:r w:rsidR="00386D5B" w:rsidRPr="00386D5B">
        <w:rPr>
          <w:rFonts w:ascii="Times New Roman" w:hAnsi="Times New Roman" w:cs="Times New Roman"/>
          <w:sz w:val="24"/>
        </w:rPr>
        <w:t xml:space="preserve"> and </w:t>
      </w:r>
      <w:r w:rsidR="00386D5B">
        <w:rPr>
          <w:rFonts w:ascii="Times New Roman" w:hAnsi="Times New Roman" w:cs="Times New Roman" w:hint="eastAsia"/>
          <w:sz w:val="24"/>
        </w:rPr>
        <w:t>CVD</w:t>
      </w:r>
      <w:r w:rsidR="00386D5B" w:rsidRPr="00386D5B">
        <w:rPr>
          <w:rFonts w:ascii="Times New Roman" w:hAnsi="Times New Roman" w:cs="Times New Roman"/>
          <w:sz w:val="24"/>
        </w:rPr>
        <w:t xml:space="preserve"> risk in men.</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(A) Funnel plot showing the distribution of study-specific hazard ratios (HRs) against their standard errors. The degree of symmetry reflects the presence or absence of small-study effects.</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(B) Leave-one-out sensitivity analysis, in which each study is sequentially omitted to evaluate the stability of the pooled effect estimate. Squares represent the pooled HRs after omitting each individual study, with horizontal lines indicating the corresponding 95% confidence intervals. Consistent effect estimates across omissions indicate good robustness of the meta-analysis results.</w:t>
      </w:r>
    </w:p>
    <w:p w14:paraId="69C9A21D" w14:textId="25E032BF" w:rsidR="00E348E4" w:rsidRDefault="00E348E4" w:rsidP="009B0F09">
      <w:pPr>
        <w:spacing w:after="240"/>
        <w:rPr>
          <w:rFonts w:ascii="Times New Roman" w:hAnsi="Times New Roman" w:cs="Times New Roman" w:hint="eastAsia"/>
          <w:sz w:val="24"/>
        </w:rPr>
      </w:pPr>
      <w:r>
        <w:rPr>
          <w:noProof/>
        </w:rPr>
        <w:lastRenderedPageBreak/>
        <w:drawing>
          <wp:anchor distT="0" distB="0" distL="114300" distR="114300" simplePos="0" relativeHeight="251681792" behindDoc="0" locked="0" layoutInCell="1" allowOverlap="1" wp14:anchorId="660EF488" wp14:editId="0FFE66C0">
            <wp:simplePos x="0" y="0"/>
            <wp:positionH relativeFrom="margin">
              <wp:posOffset>112797</wp:posOffset>
            </wp:positionH>
            <wp:positionV relativeFrom="paragraph">
              <wp:posOffset>-313</wp:posOffset>
            </wp:positionV>
            <wp:extent cx="4779010" cy="6360795"/>
            <wp:effectExtent l="0" t="0" r="2540" b="1905"/>
            <wp:wrapTopAndBottom/>
            <wp:docPr id="5501625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79010" cy="6360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8176" behindDoc="0" locked="0" layoutInCell="1" allowOverlap="1" wp14:anchorId="7D2CE414" wp14:editId="5565E971">
            <wp:simplePos x="0" y="0"/>
            <wp:positionH relativeFrom="column">
              <wp:posOffset>2894</wp:posOffset>
            </wp:positionH>
            <wp:positionV relativeFrom="paragraph">
              <wp:posOffset>-7575663</wp:posOffset>
            </wp:positionV>
            <wp:extent cx="5274310" cy="6549390"/>
            <wp:effectExtent l="0" t="0" r="2540" b="3810"/>
            <wp:wrapTopAndBottom/>
            <wp:docPr id="20970039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310" cy="6549390"/>
                    </a:xfrm>
                    <a:prstGeom prst="rect">
                      <a:avLst/>
                    </a:prstGeom>
                    <a:noFill/>
                    <a:ln>
                      <a:noFill/>
                    </a:ln>
                  </pic:spPr>
                </pic:pic>
              </a:graphicData>
            </a:graphic>
            <wp14:sizeRelH relativeFrom="page">
              <wp14:pctWidth>0</wp14:pctWidth>
            </wp14:sizeRelH>
            <wp14:sizeRelV relativeFrom="page">
              <wp14:pctHeight>0</wp14:pctHeight>
            </wp14:sizeRelV>
          </wp:anchor>
        </w:drawing>
      </w:r>
      <w:r w:rsidR="00C3539C" w:rsidRPr="00386D5B">
        <w:rPr>
          <w:rFonts w:ascii="Times New Roman" w:hAnsi="Times New Roman" w:cs="Times New Roman"/>
          <w:sz w:val="24"/>
        </w:rPr>
        <w:t>Supplementary Fig</w:t>
      </w:r>
      <w:r w:rsidR="00C3539C">
        <w:rPr>
          <w:rFonts w:ascii="Times New Roman" w:hAnsi="Times New Roman" w:cs="Times New Roman" w:hint="eastAsia"/>
          <w:sz w:val="24"/>
        </w:rPr>
        <w:t>.19</w:t>
      </w:r>
      <w:r w:rsidR="00386D5B" w:rsidRPr="00386D5B">
        <w:rPr>
          <w:rFonts w:ascii="Times New Roman" w:hAnsi="Times New Roman" w:cs="Times New Roman"/>
          <w:sz w:val="24"/>
        </w:rPr>
        <w:t xml:space="preserve"> Funnel plot and leave-one-out sensitivity analysis for the association between</w:t>
      </w:r>
      <w:r w:rsidR="00386D5B">
        <w:rPr>
          <w:rFonts w:ascii="Times New Roman" w:hAnsi="Times New Roman" w:cs="Times New Roman" w:hint="eastAsia"/>
          <w:sz w:val="24"/>
        </w:rPr>
        <w:t xml:space="preserve"> SHBG</w:t>
      </w:r>
      <w:r w:rsidR="00386D5B" w:rsidRPr="00386D5B">
        <w:rPr>
          <w:rFonts w:ascii="Times New Roman" w:hAnsi="Times New Roman" w:cs="Times New Roman"/>
          <w:sz w:val="24"/>
        </w:rPr>
        <w:t xml:space="preserve"> and </w:t>
      </w:r>
      <w:r w:rsidR="00386D5B">
        <w:rPr>
          <w:rFonts w:ascii="Times New Roman" w:hAnsi="Times New Roman" w:cs="Times New Roman" w:hint="eastAsia"/>
          <w:sz w:val="24"/>
        </w:rPr>
        <w:t>CVD</w:t>
      </w:r>
      <w:r w:rsidR="00386D5B" w:rsidRPr="00386D5B">
        <w:rPr>
          <w:rFonts w:ascii="Times New Roman" w:hAnsi="Times New Roman" w:cs="Times New Roman"/>
          <w:sz w:val="24"/>
        </w:rPr>
        <w:t xml:space="preserve"> risk in </w:t>
      </w:r>
      <w:r w:rsidR="00386D5B">
        <w:rPr>
          <w:rFonts w:ascii="Times New Roman" w:hAnsi="Times New Roman" w:cs="Times New Roman" w:hint="eastAsia"/>
          <w:sz w:val="24"/>
        </w:rPr>
        <w:t>female</w:t>
      </w:r>
      <w:r w:rsidR="00386D5B" w:rsidRPr="00386D5B">
        <w:rPr>
          <w:rFonts w:ascii="Times New Roman" w:hAnsi="Times New Roman" w:cs="Times New Roman"/>
          <w:sz w:val="24"/>
        </w:rPr>
        <w:t>.</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(A) Funnel plot showing study-specific hazard ratios (HRs) plotted against their standard errors to assess potential small-study effects. Greater symmetry in the plot suggests a lower likelihood of publication bias.</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(B) Leave-one-out sensitivity analysis in which each study is sequentially excluded to evaluate the stability of the pooled effect estimate. Squares represent recalculated pooled HRs after omitting each study, and horizontal lines denote the corresponding 95% confidence intervals. Consistent results across exclusions indicate the robustness of the meta-analysis findings.</w:t>
      </w:r>
    </w:p>
    <w:p w14:paraId="332EDD61" w14:textId="4C8C3686" w:rsidR="00386D5B" w:rsidRDefault="00E348E4" w:rsidP="009B0F09">
      <w:pPr>
        <w:spacing w:after="240"/>
        <w:rPr>
          <w:rFonts w:ascii="Times New Roman" w:hAnsi="Times New Roman" w:cs="Times New Roman"/>
          <w:sz w:val="24"/>
        </w:rPr>
      </w:pPr>
      <w:r>
        <w:rPr>
          <w:noProof/>
        </w:rPr>
        <w:lastRenderedPageBreak/>
        <w:drawing>
          <wp:anchor distT="0" distB="0" distL="114300" distR="114300" simplePos="0" relativeHeight="251699200" behindDoc="0" locked="0" layoutInCell="1" allowOverlap="1" wp14:anchorId="02A92604" wp14:editId="05317519">
            <wp:simplePos x="0" y="0"/>
            <wp:positionH relativeFrom="margin">
              <wp:align>center</wp:align>
            </wp:positionH>
            <wp:positionV relativeFrom="paragraph">
              <wp:posOffset>161443</wp:posOffset>
            </wp:positionV>
            <wp:extent cx="4890135" cy="6233795"/>
            <wp:effectExtent l="0" t="0" r="5715" b="0"/>
            <wp:wrapTopAndBottom/>
            <wp:docPr id="15273896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90135" cy="6233795"/>
                    </a:xfrm>
                    <a:prstGeom prst="rect">
                      <a:avLst/>
                    </a:prstGeom>
                    <a:noFill/>
                    <a:ln>
                      <a:noFill/>
                    </a:ln>
                  </pic:spPr>
                </pic:pic>
              </a:graphicData>
            </a:graphic>
            <wp14:sizeRelH relativeFrom="page">
              <wp14:pctWidth>0</wp14:pctWidth>
            </wp14:sizeRelH>
            <wp14:sizeRelV relativeFrom="page">
              <wp14:pctHeight>0</wp14:pctHeight>
            </wp14:sizeRelV>
          </wp:anchor>
        </w:drawing>
      </w:r>
      <w:r w:rsidR="00C3539C" w:rsidRPr="00386D5B">
        <w:rPr>
          <w:rFonts w:ascii="Times New Roman" w:hAnsi="Times New Roman" w:cs="Times New Roman"/>
          <w:sz w:val="24"/>
        </w:rPr>
        <w:t>Supplementary Fig</w:t>
      </w:r>
      <w:r w:rsidR="00C3539C">
        <w:rPr>
          <w:rFonts w:ascii="Times New Roman" w:hAnsi="Times New Roman" w:cs="Times New Roman" w:hint="eastAsia"/>
          <w:sz w:val="24"/>
        </w:rPr>
        <w:t>.20</w:t>
      </w:r>
      <w:r w:rsidR="00386D5B" w:rsidRPr="00386D5B">
        <w:rPr>
          <w:rFonts w:ascii="Times New Roman" w:hAnsi="Times New Roman" w:cs="Times New Roman"/>
          <w:sz w:val="24"/>
        </w:rPr>
        <w:t xml:space="preserve"> Funnel plot and leave-one-out sensitivity analysis for the association between</w:t>
      </w:r>
      <w:r w:rsidR="00386D5B">
        <w:rPr>
          <w:rFonts w:ascii="Times New Roman" w:hAnsi="Times New Roman" w:cs="Times New Roman" w:hint="eastAsia"/>
          <w:sz w:val="24"/>
        </w:rPr>
        <w:t xml:space="preserve"> TT</w:t>
      </w:r>
      <w:r w:rsidR="00386D5B" w:rsidRPr="00386D5B">
        <w:rPr>
          <w:rFonts w:ascii="Times New Roman" w:hAnsi="Times New Roman" w:cs="Times New Roman"/>
          <w:sz w:val="24"/>
        </w:rPr>
        <w:t xml:space="preserve"> and </w:t>
      </w:r>
      <w:r w:rsidR="00386D5B">
        <w:rPr>
          <w:rFonts w:ascii="Times New Roman" w:hAnsi="Times New Roman" w:cs="Times New Roman" w:hint="eastAsia"/>
          <w:sz w:val="24"/>
        </w:rPr>
        <w:t>CVD</w:t>
      </w:r>
      <w:r w:rsidR="00386D5B" w:rsidRPr="00386D5B">
        <w:rPr>
          <w:rFonts w:ascii="Times New Roman" w:hAnsi="Times New Roman" w:cs="Times New Roman"/>
          <w:sz w:val="24"/>
        </w:rPr>
        <w:t xml:space="preserve"> risk in </w:t>
      </w:r>
      <w:r w:rsidR="00386D5B">
        <w:rPr>
          <w:rFonts w:ascii="Times New Roman" w:hAnsi="Times New Roman" w:cs="Times New Roman" w:hint="eastAsia"/>
          <w:sz w:val="24"/>
        </w:rPr>
        <w:t>female</w:t>
      </w:r>
      <w:r w:rsidR="00386D5B" w:rsidRPr="00386D5B">
        <w:rPr>
          <w:rFonts w:ascii="Times New Roman" w:hAnsi="Times New Roman" w:cs="Times New Roman"/>
          <w:sz w:val="24"/>
        </w:rPr>
        <w:t>.</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(A) Funnel plot presenting study-specific hazard ratios (HRs) versus their standard errors, used to evaluate potential small-study effects. Symmetry of the funnel plot suggests a lower likelihood of publication bias.</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(B)</w:t>
      </w:r>
      <w:r w:rsidR="00386D5B" w:rsidRPr="00386D5B">
        <w:t xml:space="preserve"> </w:t>
      </w:r>
      <w:r w:rsidR="00386D5B" w:rsidRPr="00386D5B">
        <w:rPr>
          <w:rFonts w:ascii="Times New Roman" w:hAnsi="Times New Roman" w:cs="Times New Roman"/>
          <w:sz w:val="24"/>
        </w:rPr>
        <w:t>Leave-one-out sensitivity analysis, in which each included study is sequentially omitted to examine the stability of the pooled effect estimate. Squares represent recalculated pooled HRs following the exclusion of each individual study, with horizontal lines indicating corresponding 95% confidence intervals. Stable estimates across iterations support the robustness of the meta-analytic findings.</w:t>
      </w:r>
    </w:p>
    <w:p w14:paraId="2FB4C943" w14:textId="77777777" w:rsidR="00E348E4" w:rsidRDefault="00E348E4" w:rsidP="00FA2382">
      <w:pPr>
        <w:rPr>
          <w:rFonts w:ascii="Times New Roman" w:hAnsi="Times New Roman" w:cs="Times New Roman"/>
          <w:sz w:val="24"/>
        </w:rPr>
      </w:pPr>
    </w:p>
    <w:p w14:paraId="418F3B20" w14:textId="61EA5E0B" w:rsidR="00386D5B" w:rsidRPr="00386D5B" w:rsidRDefault="00E348E4" w:rsidP="00FA2382">
      <w:pPr>
        <w:rPr>
          <w:rFonts w:ascii="Times New Roman" w:hAnsi="Times New Roman" w:cs="Times New Roman"/>
          <w:sz w:val="24"/>
        </w:rPr>
      </w:pPr>
      <w:r>
        <w:rPr>
          <w:noProof/>
        </w:rPr>
        <w:lastRenderedPageBreak/>
        <w:drawing>
          <wp:anchor distT="0" distB="0" distL="114300" distR="114300" simplePos="0" relativeHeight="251700224" behindDoc="0" locked="0" layoutInCell="1" allowOverlap="1" wp14:anchorId="7CC94CEC" wp14:editId="23EE39F0">
            <wp:simplePos x="0" y="0"/>
            <wp:positionH relativeFrom="margin">
              <wp:align>center</wp:align>
            </wp:positionH>
            <wp:positionV relativeFrom="paragraph">
              <wp:posOffset>40511</wp:posOffset>
            </wp:positionV>
            <wp:extent cx="5274310" cy="6459855"/>
            <wp:effectExtent l="0" t="0" r="2540" b="0"/>
            <wp:wrapTopAndBottom/>
            <wp:docPr id="16433999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6459855"/>
                    </a:xfrm>
                    <a:prstGeom prst="rect">
                      <a:avLst/>
                    </a:prstGeom>
                    <a:noFill/>
                    <a:ln>
                      <a:noFill/>
                    </a:ln>
                  </pic:spPr>
                </pic:pic>
              </a:graphicData>
            </a:graphic>
            <wp14:sizeRelH relativeFrom="page">
              <wp14:pctWidth>0</wp14:pctWidth>
            </wp14:sizeRelH>
            <wp14:sizeRelV relativeFrom="page">
              <wp14:pctHeight>0</wp14:pctHeight>
            </wp14:sizeRelV>
          </wp:anchor>
        </w:drawing>
      </w:r>
      <w:r w:rsidR="00C3539C" w:rsidRPr="00386D5B">
        <w:rPr>
          <w:rFonts w:ascii="Times New Roman" w:hAnsi="Times New Roman" w:cs="Times New Roman"/>
          <w:sz w:val="24"/>
        </w:rPr>
        <w:t>Supplementary Fig</w:t>
      </w:r>
      <w:r w:rsidR="00C3539C">
        <w:rPr>
          <w:rFonts w:ascii="Times New Roman" w:hAnsi="Times New Roman" w:cs="Times New Roman" w:hint="eastAsia"/>
          <w:sz w:val="24"/>
        </w:rPr>
        <w:t>.21</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Funnel plot and leave-one-out sensitivity analysis for the association between TT and cardiovascular mortality.</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(A) Funnel plot showing study-specific hazard ratios (HRs) plotted against their standard errors, used to evaluate potential publication bias or small-study effects. The overall symmetry of the plot suggests a low likelihood of systematic bias.</w:t>
      </w:r>
      <w:r w:rsidR="00386D5B">
        <w:rPr>
          <w:rFonts w:ascii="Times New Roman" w:hAnsi="Times New Roman" w:cs="Times New Roman" w:hint="eastAsia"/>
          <w:sz w:val="24"/>
        </w:rPr>
        <w:t xml:space="preserve"> </w:t>
      </w:r>
      <w:r w:rsidR="00386D5B" w:rsidRPr="00386D5B">
        <w:rPr>
          <w:rFonts w:ascii="Times New Roman" w:hAnsi="Times New Roman" w:cs="Times New Roman"/>
          <w:sz w:val="24"/>
        </w:rPr>
        <w:t>(B) Leave-one-out sensitivity analysis, where each individual study is sequentially removed to reassess the pooled effect estimate. Squares represent the recalculated pooled HRs after omitting each study, and horizontal lines indicate the corresponding 95% confidence intervals. Consistent pooled estimates across iterations indicate good robustness of the meta-analysis results.</w:t>
      </w:r>
    </w:p>
    <w:sectPr w:rsidR="00386D5B" w:rsidRPr="00386D5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697EB4" w14:textId="77777777" w:rsidR="00931DAB" w:rsidRDefault="00931DAB" w:rsidP="00044F1F">
      <w:pPr>
        <w:rPr>
          <w:rFonts w:hint="eastAsia"/>
        </w:rPr>
      </w:pPr>
      <w:r>
        <w:separator/>
      </w:r>
    </w:p>
  </w:endnote>
  <w:endnote w:type="continuationSeparator" w:id="0">
    <w:p w14:paraId="6B04D44A" w14:textId="77777777" w:rsidR="00931DAB" w:rsidRDefault="00931DAB" w:rsidP="00044F1F">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CAFD15" w14:textId="77777777" w:rsidR="00931DAB" w:rsidRDefault="00931DAB" w:rsidP="00044F1F">
      <w:pPr>
        <w:rPr>
          <w:rFonts w:hint="eastAsia"/>
        </w:rPr>
      </w:pPr>
      <w:r>
        <w:separator/>
      </w:r>
    </w:p>
  </w:footnote>
  <w:footnote w:type="continuationSeparator" w:id="0">
    <w:p w14:paraId="4B33DB45" w14:textId="77777777" w:rsidR="00931DAB" w:rsidRDefault="00931DAB" w:rsidP="00044F1F">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23DF"/>
    <w:rsid w:val="00044F1F"/>
    <w:rsid w:val="00091840"/>
    <w:rsid w:val="000923DF"/>
    <w:rsid w:val="000F3577"/>
    <w:rsid w:val="000F5C7E"/>
    <w:rsid w:val="00103C65"/>
    <w:rsid w:val="00150C99"/>
    <w:rsid w:val="001867EA"/>
    <w:rsid w:val="001C7D76"/>
    <w:rsid w:val="001E193F"/>
    <w:rsid w:val="001F2F4B"/>
    <w:rsid w:val="001F4751"/>
    <w:rsid w:val="00220B77"/>
    <w:rsid w:val="00246631"/>
    <w:rsid w:val="002F02B1"/>
    <w:rsid w:val="00311C7B"/>
    <w:rsid w:val="00324D0A"/>
    <w:rsid w:val="003639EB"/>
    <w:rsid w:val="00366BF3"/>
    <w:rsid w:val="0038022C"/>
    <w:rsid w:val="00384B9F"/>
    <w:rsid w:val="00386D5B"/>
    <w:rsid w:val="003C0382"/>
    <w:rsid w:val="003D520B"/>
    <w:rsid w:val="003F4FDD"/>
    <w:rsid w:val="004720CD"/>
    <w:rsid w:val="00481931"/>
    <w:rsid w:val="00502154"/>
    <w:rsid w:val="00517850"/>
    <w:rsid w:val="00596971"/>
    <w:rsid w:val="005D6F24"/>
    <w:rsid w:val="006043A9"/>
    <w:rsid w:val="0063025C"/>
    <w:rsid w:val="0063665E"/>
    <w:rsid w:val="006D22C4"/>
    <w:rsid w:val="00702DCE"/>
    <w:rsid w:val="00703F51"/>
    <w:rsid w:val="00706610"/>
    <w:rsid w:val="00722CD2"/>
    <w:rsid w:val="007314F1"/>
    <w:rsid w:val="007F5130"/>
    <w:rsid w:val="00803046"/>
    <w:rsid w:val="00812BB2"/>
    <w:rsid w:val="00820CD9"/>
    <w:rsid w:val="00896F87"/>
    <w:rsid w:val="008C6AE9"/>
    <w:rsid w:val="00931DAB"/>
    <w:rsid w:val="00966936"/>
    <w:rsid w:val="00983E9F"/>
    <w:rsid w:val="009B0F09"/>
    <w:rsid w:val="00A31B11"/>
    <w:rsid w:val="00A85F3C"/>
    <w:rsid w:val="00A9241D"/>
    <w:rsid w:val="00AC1DDE"/>
    <w:rsid w:val="00AD10E3"/>
    <w:rsid w:val="00AE44CA"/>
    <w:rsid w:val="00AF0881"/>
    <w:rsid w:val="00B24827"/>
    <w:rsid w:val="00B451D5"/>
    <w:rsid w:val="00B6473E"/>
    <w:rsid w:val="00BA139E"/>
    <w:rsid w:val="00C3539C"/>
    <w:rsid w:val="00C56965"/>
    <w:rsid w:val="00C6264B"/>
    <w:rsid w:val="00C64E99"/>
    <w:rsid w:val="00C663F0"/>
    <w:rsid w:val="00C7473C"/>
    <w:rsid w:val="00CB47D7"/>
    <w:rsid w:val="00CC0126"/>
    <w:rsid w:val="00D83C32"/>
    <w:rsid w:val="00D86BD4"/>
    <w:rsid w:val="00D9024B"/>
    <w:rsid w:val="00D91EC0"/>
    <w:rsid w:val="00D97FBD"/>
    <w:rsid w:val="00DE0DBC"/>
    <w:rsid w:val="00E02EDE"/>
    <w:rsid w:val="00E11221"/>
    <w:rsid w:val="00E266FA"/>
    <w:rsid w:val="00E26C7A"/>
    <w:rsid w:val="00E348E4"/>
    <w:rsid w:val="00E36878"/>
    <w:rsid w:val="00E87C3F"/>
    <w:rsid w:val="00E92628"/>
    <w:rsid w:val="00EE65E2"/>
    <w:rsid w:val="00FA23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7C67738"/>
  <w15:chartTrackingRefBased/>
  <w15:docId w15:val="{5C3E6F77-F3BA-F446-B736-95C7F4A3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44F1F"/>
    <w:pPr>
      <w:tabs>
        <w:tab w:val="center" w:pos="4153"/>
        <w:tab w:val="right" w:pos="8306"/>
      </w:tabs>
      <w:snapToGrid w:val="0"/>
      <w:jc w:val="center"/>
    </w:pPr>
    <w:rPr>
      <w:sz w:val="18"/>
      <w:szCs w:val="18"/>
    </w:rPr>
  </w:style>
  <w:style w:type="character" w:customStyle="1" w:styleId="a4">
    <w:name w:val="页眉 字符"/>
    <w:basedOn w:val="a0"/>
    <w:link w:val="a3"/>
    <w:uiPriority w:val="99"/>
    <w:rsid w:val="00044F1F"/>
    <w:rPr>
      <w:sz w:val="18"/>
      <w:szCs w:val="18"/>
    </w:rPr>
  </w:style>
  <w:style w:type="paragraph" w:styleId="a5">
    <w:name w:val="footer"/>
    <w:basedOn w:val="a"/>
    <w:link w:val="a6"/>
    <w:uiPriority w:val="99"/>
    <w:unhideWhenUsed/>
    <w:rsid w:val="00044F1F"/>
    <w:pPr>
      <w:tabs>
        <w:tab w:val="center" w:pos="4153"/>
        <w:tab w:val="right" w:pos="8306"/>
      </w:tabs>
      <w:snapToGrid w:val="0"/>
      <w:jc w:val="left"/>
    </w:pPr>
    <w:rPr>
      <w:sz w:val="18"/>
      <w:szCs w:val="18"/>
    </w:rPr>
  </w:style>
  <w:style w:type="character" w:customStyle="1" w:styleId="a6">
    <w:name w:val="页脚 字符"/>
    <w:basedOn w:val="a0"/>
    <w:link w:val="a5"/>
    <w:uiPriority w:val="99"/>
    <w:rsid w:val="00044F1F"/>
    <w:rPr>
      <w:sz w:val="18"/>
      <w:szCs w:val="18"/>
    </w:rPr>
  </w:style>
  <w:style w:type="paragraph" w:styleId="a7">
    <w:name w:val="caption"/>
    <w:basedOn w:val="a"/>
    <w:next w:val="a"/>
    <w:uiPriority w:val="35"/>
    <w:unhideWhenUsed/>
    <w:qFormat/>
    <w:rsid w:val="009B0F09"/>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18" Type="http://schemas.openxmlformats.org/officeDocument/2006/relationships/image" Target="media/image13.tiff"/><Relationship Id="rId26" Type="http://schemas.openxmlformats.org/officeDocument/2006/relationships/image" Target="media/image21.tiff"/><Relationship Id="rId3" Type="http://schemas.openxmlformats.org/officeDocument/2006/relationships/webSettings" Target="webSettings.xml"/><Relationship Id="rId21" Type="http://schemas.openxmlformats.org/officeDocument/2006/relationships/image" Target="media/image16.tiff"/><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image" Target="media/image12.tiff"/><Relationship Id="rId25" Type="http://schemas.openxmlformats.org/officeDocument/2006/relationships/image" Target="media/image20.tiff"/><Relationship Id="rId2" Type="http://schemas.openxmlformats.org/officeDocument/2006/relationships/settings" Target="settings.xml"/><Relationship Id="rId16" Type="http://schemas.openxmlformats.org/officeDocument/2006/relationships/image" Target="media/image11.tiff"/><Relationship Id="rId20" Type="http://schemas.openxmlformats.org/officeDocument/2006/relationships/image" Target="media/image15.tiff"/><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24" Type="http://schemas.openxmlformats.org/officeDocument/2006/relationships/image" Target="media/image19.tiff"/><Relationship Id="rId5" Type="http://schemas.openxmlformats.org/officeDocument/2006/relationships/endnotes" Target="endnotes.xml"/><Relationship Id="rId15" Type="http://schemas.openxmlformats.org/officeDocument/2006/relationships/image" Target="media/image10.tiff"/><Relationship Id="rId23" Type="http://schemas.openxmlformats.org/officeDocument/2006/relationships/image" Target="media/image18.tiff"/><Relationship Id="rId28" Type="http://schemas.openxmlformats.org/officeDocument/2006/relationships/image" Target="media/image23.tiff"/><Relationship Id="rId10" Type="http://schemas.openxmlformats.org/officeDocument/2006/relationships/image" Target="media/image5.tiff"/><Relationship Id="rId19" Type="http://schemas.openxmlformats.org/officeDocument/2006/relationships/image" Target="media/image14.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image" Target="media/image9.tiff"/><Relationship Id="rId22" Type="http://schemas.openxmlformats.org/officeDocument/2006/relationships/image" Target="media/image17.tiff"/><Relationship Id="rId27" Type="http://schemas.openxmlformats.org/officeDocument/2006/relationships/image" Target="media/image22.tiff"/><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21</Pages>
  <Words>1790</Words>
  <Characters>10207</Characters>
  <Application>Microsoft Office Word</Application>
  <DocSecurity>0</DocSecurity>
  <Lines>85</Lines>
  <Paragraphs>23</Paragraphs>
  <ScaleCrop>false</ScaleCrop>
  <Company/>
  <LinksUpToDate>false</LinksUpToDate>
  <CharactersWithSpaces>11974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Wenting Wang</cp:lastModifiedBy>
  <cp:revision>5</cp:revision>
  <dcterms:created xsi:type="dcterms:W3CDTF">2025-12-04T16:17:00Z</dcterms:created>
  <dcterms:modified xsi:type="dcterms:W3CDTF">2026-02-15T08:23:00Z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92ae46de-925c-4047-adba-007be6a7ebd7</vt:lpwstr>
  </property>
</Properties>
</file>